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B3" w:rsidRPr="00130EB3" w:rsidRDefault="00130EB3" w:rsidP="00130EB3">
      <w:pPr>
        <w:autoSpaceDE w:val="0"/>
        <w:autoSpaceDN w:val="0"/>
        <w:adjustRightInd w:val="0"/>
        <w:spacing w:after="0"/>
        <w:contextualSpacing/>
        <w:jc w:val="right"/>
        <w:rPr>
          <w:rFonts w:ascii="Times New Roman" w:hAnsi="Times New Roman" w:cs="Times New Roman"/>
          <w:sz w:val="28"/>
          <w:szCs w:val="28"/>
        </w:rPr>
      </w:pPr>
      <w:bookmarkStart w:id="0" w:name="_GoBack"/>
      <w:bookmarkEnd w:id="0"/>
    </w:p>
    <w:p w:rsidR="00130EB3" w:rsidRDefault="00130EB3" w:rsidP="00130EB3">
      <w:pPr>
        <w:autoSpaceDE w:val="0"/>
        <w:autoSpaceDN w:val="0"/>
        <w:adjustRightInd w:val="0"/>
        <w:spacing w:after="0"/>
        <w:contextualSpacing/>
        <w:jc w:val="right"/>
        <w:rPr>
          <w:rFonts w:ascii="Times New Roman" w:hAnsi="Times New Roman" w:cs="Times New Roman"/>
          <w:sz w:val="24"/>
          <w:szCs w:val="24"/>
        </w:rPr>
      </w:pPr>
    </w:p>
    <w:p w:rsidR="00CC0732" w:rsidRPr="00A85922" w:rsidRDefault="00A85922" w:rsidP="00CC0732">
      <w:p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8"/>
          <w:szCs w:val="28"/>
        </w:rPr>
        <w:t>О</w:t>
      </w:r>
      <w:r w:rsidRPr="00A85922">
        <w:rPr>
          <w:rFonts w:ascii="Times New Roman" w:hAnsi="Times New Roman" w:cs="Times New Roman"/>
          <w:b/>
          <w:sz w:val="28"/>
          <w:szCs w:val="28"/>
        </w:rPr>
        <w:t>бобщенные сведения о</w:t>
      </w:r>
      <w:r>
        <w:rPr>
          <w:rFonts w:ascii="Times New Roman" w:hAnsi="Times New Roman" w:cs="Times New Roman"/>
          <w:b/>
          <w:sz w:val="28"/>
          <w:szCs w:val="28"/>
        </w:rPr>
        <w:t>б</w:t>
      </w:r>
      <w:r w:rsidRPr="00A85922">
        <w:rPr>
          <w:rFonts w:ascii="Times New Roman" w:hAnsi="Times New Roman" w:cs="Times New Roman"/>
          <w:b/>
          <w:sz w:val="28"/>
          <w:szCs w:val="28"/>
        </w:rPr>
        <w:t xml:space="preserve"> используемых финансовыми организациями, взаимодействующими с финансовым уполномоченным</w:t>
      </w:r>
      <w:r>
        <w:rPr>
          <w:rFonts w:ascii="Times New Roman" w:hAnsi="Times New Roman" w:cs="Times New Roman"/>
          <w:b/>
          <w:sz w:val="28"/>
          <w:szCs w:val="28"/>
        </w:rPr>
        <w:t>,</w:t>
      </w:r>
      <w:r w:rsidRPr="00A85922">
        <w:rPr>
          <w:rFonts w:ascii="Times New Roman" w:hAnsi="Times New Roman" w:cs="Times New Roman"/>
          <w:b/>
          <w:sz w:val="28"/>
          <w:szCs w:val="28"/>
        </w:rPr>
        <w:t xml:space="preserve"> неприемлемых практиках, выявленных в ходе рассмотрения обращений потреби</w:t>
      </w:r>
      <w:r w:rsidR="00B76F8C">
        <w:rPr>
          <w:rFonts w:ascii="Times New Roman" w:hAnsi="Times New Roman" w:cs="Times New Roman"/>
          <w:b/>
          <w:sz w:val="28"/>
          <w:szCs w:val="28"/>
        </w:rPr>
        <w:t>телей финансовых услуг в</w:t>
      </w:r>
      <w:r w:rsidR="000C3EBF">
        <w:rPr>
          <w:rFonts w:ascii="Times New Roman" w:hAnsi="Times New Roman" w:cs="Times New Roman"/>
          <w:b/>
          <w:sz w:val="28"/>
          <w:szCs w:val="28"/>
        </w:rPr>
        <w:t xml:space="preserve"> третьем</w:t>
      </w:r>
      <w:r w:rsidRPr="00A85922">
        <w:rPr>
          <w:rFonts w:ascii="Times New Roman" w:hAnsi="Times New Roman" w:cs="Times New Roman"/>
          <w:b/>
          <w:sz w:val="28"/>
          <w:szCs w:val="28"/>
        </w:rPr>
        <w:t xml:space="preserve"> квартале 2022 года</w:t>
      </w:r>
    </w:p>
    <w:p w:rsidR="00CC0732" w:rsidRPr="00CC0732" w:rsidRDefault="00CC0732" w:rsidP="00CC0732">
      <w:pPr>
        <w:autoSpaceDE w:val="0"/>
        <w:autoSpaceDN w:val="0"/>
        <w:adjustRightInd w:val="0"/>
        <w:spacing w:after="0"/>
        <w:contextualSpacing/>
        <w:jc w:val="center"/>
        <w:rPr>
          <w:rFonts w:ascii="Times New Roman" w:hAnsi="Times New Roman" w:cs="Times New Roman"/>
          <w:sz w:val="24"/>
          <w:szCs w:val="24"/>
        </w:rPr>
      </w:pPr>
    </w:p>
    <w:tbl>
      <w:tblPr>
        <w:tblStyle w:val="a3"/>
        <w:tblW w:w="13178" w:type="dxa"/>
        <w:jc w:val="center"/>
        <w:tblLook w:val="04A0" w:firstRow="1" w:lastRow="0" w:firstColumn="1" w:lastColumn="0" w:noHBand="0" w:noVBand="1"/>
      </w:tblPr>
      <w:tblGrid>
        <w:gridCol w:w="819"/>
        <w:gridCol w:w="2295"/>
        <w:gridCol w:w="7513"/>
        <w:gridCol w:w="2551"/>
      </w:tblGrid>
      <w:tr w:rsidR="00F009B6" w:rsidRPr="00CC0732" w:rsidTr="000E38F6">
        <w:trPr>
          <w:jc w:val="center"/>
        </w:trPr>
        <w:tc>
          <w:tcPr>
            <w:tcW w:w="819" w:type="dxa"/>
            <w:vAlign w:val="center"/>
          </w:tcPr>
          <w:p w:rsidR="00F009B6" w:rsidRPr="00FD0CD5" w:rsidRDefault="00F009B6" w:rsidP="00615582">
            <w:pPr>
              <w:autoSpaceDE w:val="0"/>
              <w:autoSpaceDN w:val="0"/>
              <w:adjustRightInd w:val="0"/>
              <w:contextualSpacing/>
              <w:jc w:val="center"/>
              <w:rPr>
                <w:rFonts w:ascii="Times New Roman" w:hAnsi="Times New Roman" w:cs="Times New Roman"/>
                <w:sz w:val="24"/>
                <w:szCs w:val="24"/>
              </w:rPr>
            </w:pPr>
            <w:r w:rsidRPr="00FD0CD5">
              <w:rPr>
                <w:rFonts w:ascii="Times New Roman" w:hAnsi="Times New Roman" w:cs="Times New Roman"/>
                <w:sz w:val="24"/>
                <w:szCs w:val="24"/>
              </w:rPr>
              <w:t>п/п</w:t>
            </w:r>
          </w:p>
        </w:tc>
        <w:tc>
          <w:tcPr>
            <w:tcW w:w="2295" w:type="dxa"/>
            <w:vAlign w:val="center"/>
          </w:tcPr>
          <w:p w:rsidR="00F009B6" w:rsidRPr="00FD0CD5" w:rsidRDefault="00F009B6" w:rsidP="00615582">
            <w:pPr>
              <w:contextualSpacing/>
              <w:jc w:val="center"/>
              <w:rPr>
                <w:rFonts w:ascii="Times New Roman" w:hAnsi="Times New Roman" w:cs="Times New Roman"/>
                <w:sz w:val="24"/>
                <w:szCs w:val="24"/>
              </w:rPr>
            </w:pPr>
            <w:r w:rsidRPr="00FD0CD5">
              <w:rPr>
                <w:rFonts w:ascii="Times New Roman" w:hAnsi="Times New Roman" w:cs="Times New Roman"/>
                <w:sz w:val="24"/>
                <w:szCs w:val="24"/>
              </w:rPr>
              <w:t>Вид финансовой услуги</w:t>
            </w:r>
          </w:p>
        </w:tc>
        <w:tc>
          <w:tcPr>
            <w:tcW w:w="7513" w:type="dxa"/>
            <w:vAlign w:val="center"/>
          </w:tcPr>
          <w:p w:rsidR="00F009B6" w:rsidRPr="00FD0CD5" w:rsidRDefault="00F009B6" w:rsidP="00615582">
            <w:pPr>
              <w:contextualSpacing/>
              <w:jc w:val="center"/>
              <w:rPr>
                <w:rFonts w:ascii="Times New Roman" w:hAnsi="Times New Roman" w:cs="Times New Roman"/>
                <w:sz w:val="24"/>
                <w:szCs w:val="24"/>
              </w:rPr>
            </w:pPr>
            <w:r>
              <w:rPr>
                <w:rFonts w:ascii="Times New Roman" w:hAnsi="Times New Roman" w:cs="Times New Roman"/>
                <w:sz w:val="24"/>
                <w:szCs w:val="24"/>
              </w:rPr>
              <w:t>Описание</w:t>
            </w:r>
            <w:r w:rsidRPr="00FD0CD5">
              <w:rPr>
                <w:rFonts w:ascii="Times New Roman" w:hAnsi="Times New Roman" w:cs="Times New Roman"/>
                <w:sz w:val="24"/>
                <w:szCs w:val="24"/>
              </w:rPr>
              <w:t xml:space="preserve"> выявленной неприемлемой практики</w:t>
            </w:r>
          </w:p>
        </w:tc>
        <w:tc>
          <w:tcPr>
            <w:tcW w:w="2551" w:type="dxa"/>
            <w:vAlign w:val="center"/>
          </w:tcPr>
          <w:p w:rsidR="00F009B6" w:rsidRPr="00FD0CD5" w:rsidRDefault="00F009B6" w:rsidP="001B5A97">
            <w:pPr>
              <w:contextualSpacing/>
              <w:jc w:val="center"/>
              <w:rPr>
                <w:rFonts w:ascii="Times New Roman" w:hAnsi="Times New Roman" w:cs="Times New Roman"/>
                <w:sz w:val="24"/>
                <w:szCs w:val="24"/>
              </w:rPr>
            </w:pPr>
            <w:r w:rsidRPr="00CD7BD5">
              <w:rPr>
                <w:rFonts w:ascii="Times New Roman" w:hAnsi="Times New Roman" w:cs="Times New Roman"/>
                <w:sz w:val="24"/>
                <w:szCs w:val="24"/>
              </w:rPr>
              <w:t>Наименование финансовой организации</w:t>
            </w:r>
            <w:r w:rsidR="001B5A97">
              <w:rPr>
                <w:rFonts w:ascii="Times New Roman" w:hAnsi="Times New Roman" w:cs="Times New Roman"/>
                <w:sz w:val="24"/>
                <w:szCs w:val="24"/>
              </w:rPr>
              <w:t xml:space="preserve"> и пример обращения (номер)</w:t>
            </w:r>
          </w:p>
        </w:tc>
      </w:tr>
      <w:tr w:rsidR="00561190" w:rsidRPr="00CC0732" w:rsidTr="000E38F6">
        <w:trPr>
          <w:jc w:val="center"/>
        </w:trPr>
        <w:tc>
          <w:tcPr>
            <w:tcW w:w="13178" w:type="dxa"/>
            <w:gridSpan w:val="4"/>
            <w:vAlign w:val="center"/>
          </w:tcPr>
          <w:p w:rsidR="00561190" w:rsidRDefault="00561190" w:rsidP="00615582">
            <w:pPr>
              <w:contextualSpacing/>
              <w:jc w:val="center"/>
              <w:rPr>
                <w:rFonts w:ascii="Times New Roman" w:hAnsi="Times New Roman" w:cs="Times New Roman"/>
                <w:sz w:val="24"/>
                <w:szCs w:val="24"/>
              </w:rPr>
            </w:pPr>
          </w:p>
          <w:p w:rsidR="00561190" w:rsidRDefault="00561190" w:rsidP="00615582">
            <w:pPr>
              <w:contextualSpacing/>
              <w:jc w:val="center"/>
              <w:rPr>
                <w:rFonts w:ascii="Times New Roman" w:hAnsi="Times New Roman" w:cs="Times New Roman"/>
                <w:sz w:val="24"/>
                <w:szCs w:val="24"/>
              </w:rPr>
            </w:pPr>
            <w:r>
              <w:rPr>
                <w:rFonts w:ascii="Times New Roman" w:hAnsi="Times New Roman" w:cs="Times New Roman"/>
                <w:sz w:val="24"/>
                <w:szCs w:val="24"/>
              </w:rPr>
              <w:t>Кредитные организации</w:t>
            </w:r>
          </w:p>
          <w:p w:rsidR="00561190" w:rsidRPr="00CD7BD5" w:rsidRDefault="00561190" w:rsidP="00561190">
            <w:pPr>
              <w:contextualSpacing/>
              <w:rPr>
                <w:rFonts w:ascii="Times New Roman" w:hAnsi="Times New Roman" w:cs="Times New Roman"/>
                <w:sz w:val="24"/>
                <w:szCs w:val="24"/>
              </w:rPr>
            </w:pPr>
          </w:p>
        </w:tc>
      </w:tr>
      <w:tr w:rsidR="00F009B6" w:rsidRPr="00CC0732" w:rsidTr="000E38F6">
        <w:trPr>
          <w:jc w:val="center"/>
        </w:trPr>
        <w:tc>
          <w:tcPr>
            <w:tcW w:w="819" w:type="dxa"/>
          </w:tcPr>
          <w:p w:rsidR="00F009B6" w:rsidRPr="00E328A1" w:rsidRDefault="00F009B6" w:rsidP="00E328A1">
            <w:pPr>
              <w:pStyle w:val="af2"/>
              <w:numPr>
                <w:ilvl w:val="0"/>
                <w:numId w:val="2"/>
              </w:numPr>
              <w:rPr>
                <w:rFonts w:ascii="Times New Roman" w:hAnsi="Times New Roman" w:cs="Times New Roman"/>
                <w:sz w:val="24"/>
                <w:szCs w:val="24"/>
              </w:rPr>
            </w:pPr>
          </w:p>
        </w:tc>
        <w:tc>
          <w:tcPr>
            <w:tcW w:w="2295" w:type="dxa"/>
          </w:tcPr>
          <w:p w:rsidR="00F009B6" w:rsidRPr="00615582" w:rsidRDefault="007C6212" w:rsidP="009C4E96">
            <w:pPr>
              <w:contextualSpacing/>
              <w:jc w:val="center"/>
              <w:rPr>
                <w:rFonts w:ascii="Times New Roman" w:hAnsi="Times New Roman" w:cs="Times New Roman"/>
                <w:i/>
                <w:sz w:val="24"/>
                <w:szCs w:val="24"/>
              </w:rPr>
            </w:pPr>
            <w:r w:rsidRPr="007C6212">
              <w:rPr>
                <w:rFonts w:ascii="Times New Roman" w:hAnsi="Times New Roman" w:cs="Times New Roman"/>
                <w:i/>
                <w:sz w:val="24"/>
                <w:szCs w:val="24"/>
              </w:rPr>
              <w:t>Потребительское кредитование</w:t>
            </w:r>
          </w:p>
        </w:tc>
        <w:tc>
          <w:tcPr>
            <w:tcW w:w="7513" w:type="dxa"/>
          </w:tcPr>
          <w:p w:rsidR="009A5CD7" w:rsidRPr="002174EF" w:rsidRDefault="001B5A97" w:rsidP="00A4341A">
            <w:pPr>
              <w:contextualSpacing/>
              <w:rPr>
                <w:rFonts w:ascii="Times New Roman" w:hAnsi="Times New Roman" w:cs="Times New Roman"/>
                <w:b/>
              </w:rPr>
            </w:pPr>
            <w:r w:rsidRPr="002174EF">
              <w:rPr>
                <w:rFonts w:ascii="Times New Roman" w:hAnsi="Times New Roman" w:cs="Times New Roman"/>
                <w:b/>
              </w:rPr>
              <w:t>Предоставление в составе «</w:t>
            </w:r>
            <w:r w:rsidR="009A5CD7" w:rsidRPr="002174EF">
              <w:rPr>
                <w:rFonts w:ascii="Times New Roman" w:hAnsi="Times New Roman" w:cs="Times New Roman"/>
                <w:b/>
              </w:rPr>
              <w:t>дополнительной услуг</w:t>
            </w:r>
            <w:r w:rsidR="00B95805" w:rsidRPr="002174EF">
              <w:rPr>
                <w:rFonts w:ascii="Times New Roman" w:hAnsi="Times New Roman" w:cs="Times New Roman"/>
                <w:b/>
              </w:rPr>
              <w:t>и</w:t>
            </w:r>
            <w:r w:rsidRPr="002174EF">
              <w:rPr>
                <w:rFonts w:ascii="Times New Roman" w:hAnsi="Times New Roman" w:cs="Times New Roman"/>
                <w:b/>
              </w:rPr>
              <w:t>», предлагаемой при заключении договора потребительского кредита,</w:t>
            </w:r>
            <w:r w:rsidR="00B95805" w:rsidRPr="002174EF">
              <w:rPr>
                <w:rFonts w:ascii="Times New Roman" w:hAnsi="Times New Roman" w:cs="Times New Roman"/>
                <w:b/>
              </w:rPr>
              <w:t xml:space="preserve"> непродовольственн</w:t>
            </w:r>
            <w:r w:rsidRPr="002174EF">
              <w:rPr>
                <w:rFonts w:ascii="Times New Roman" w:hAnsi="Times New Roman" w:cs="Times New Roman"/>
                <w:b/>
              </w:rPr>
              <w:t>ого</w:t>
            </w:r>
            <w:r w:rsidR="00B95805" w:rsidRPr="002174EF">
              <w:rPr>
                <w:rFonts w:ascii="Times New Roman" w:hAnsi="Times New Roman" w:cs="Times New Roman"/>
                <w:b/>
              </w:rPr>
              <w:t xml:space="preserve"> товар</w:t>
            </w:r>
            <w:r w:rsidRPr="002174EF">
              <w:rPr>
                <w:rFonts w:ascii="Times New Roman" w:hAnsi="Times New Roman" w:cs="Times New Roman"/>
                <w:b/>
              </w:rPr>
              <w:t>а, возврат которого не допускается</w:t>
            </w:r>
          </w:p>
          <w:p w:rsidR="00F009B6" w:rsidRPr="002174EF" w:rsidRDefault="00F009B6" w:rsidP="005C2EBA">
            <w:pPr>
              <w:contextualSpacing/>
              <w:jc w:val="both"/>
              <w:rPr>
                <w:rFonts w:ascii="Times New Roman" w:hAnsi="Times New Roman" w:cs="Times New Roman"/>
                <w:u w:val="single"/>
              </w:rPr>
            </w:pPr>
            <w:r w:rsidRPr="002174EF">
              <w:rPr>
                <w:rFonts w:ascii="Times New Roman" w:hAnsi="Times New Roman" w:cs="Times New Roman"/>
                <w:u w:val="single"/>
              </w:rPr>
              <w:t>Требование потребителя финансовых услуг:</w:t>
            </w:r>
          </w:p>
          <w:p w:rsidR="00BD0743" w:rsidRPr="00BD0743" w:rsidRDefault="00BD0743" w:rsidP="00BD0743">
            <w:pPr>
              <w:contextualSpacing/>
              <w:jc w:val="both"/>
              <w:rPr>
                <w:rFonts w:ascii="Times New Roman" w:hAnsi="Times New Roman" w:cs="Times New Roman"/>
              </w:rPr>
            </w:pPr>
            <w:r w:rsidRPr="002174EF">
              <w:rPr>
                <w:rFonts w:ascii="Times New Roman" w:hAnsi="Times New Roman" w:cs="Times New Roman"/>
              </w:rPr>
              <w:t>К финансовому уполномоченному</w:t>
            </w:r>
            <w:r w:rsidRPr="00BD0743">
              <w:rPr>
                <w:rFonts w:ascii="Times New Roman" w:hAnsi="Times New Roman" w:cs="Times New Roman"/>
              </w:rPr>
              <w:t xml:space="preserve">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Заявитель заключил договор с ООО «Союз Профи Эксперт».</w:t>
            </w:r>
          </w:p>
          <w:p w:rsidR="00F009B6" w:rsidRDefault="00F009B6" w:rsidP="005C2EBA">
            <w:pPr>
              <w:contextualSpacing/>
              <w:jc w:val="both"/>
              <w:rPr>
                <w:rFonts w:ascii="Times New Roman" w:hAnsi="Times New Roman" w:cs="Times New Roman"/>
                <w:u w:val="single"/>
              </w:rPr>
            </w:pPr>
            <w:r w:rsidRPr="00DB4CAF">
              <w:rPr>
                <w:rFonts w:ascii="Times New Roman" w:hAnsi="Times New Roman" w:cs="Times New Roman"/>
                <w:u w:val="single"/>
              </w:rPr>
              <w:t>Фактические обстоятельства:</w:t>
            </w:r>
          </w:p>
          <w:p w:rsidR="008C466D" w:rsidRPr="008C0CAD" w:rsidRDefault="00D920A6" w:rsidP="00370495">
            <w:pPr>
              <w:contextualSpacing/>
              <w:jc w:val="both"/>
              <w:rPr>
                <w:rFonts w:ascii="Times New Roman" w:hAnsi="Times New Roman" w:cs="Times New Roman"/>
              </w:rPr>
            </w:pPr>
            <w:r w:rsidRPr="00D920A6">
              <w:rPr>
                <w:rFonts w:ascii="Times New Roman" w:hAnsi="Times New Roman" w:cs="Times New Roman"/>
              </w:rPr>
              <w:t xml:space="preserve">При </w:t>
            </w:r>
            <w:r>
              <w:rPr>
                <w:rFonts w:ascii="Times New Roman" w:hAnsi="Times New Roman" w:cs="Times New Roman"/>
              </w:rPr>
              <w:t>заключении кредитного договора потребителем было подписано заявление о присоединении к договору публичной оферты ООО «Союз Профи Эксперт» по программе обслуживания «</w:t>
            </w: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Car</w:t>
            </w:r>
            <w:r w:rsidRPr="00D920A6">
              <w:rPr>
                <w:rFonts w:ascii="Times New Roman" w:hAnsi="Times New Roman" w:cs="Times New Roman"/>
              </w:rPr>
              <w:t xml:space="preserve"> </w:t>
            </w:r>
            <w:r>
              <w:rPr>
                <w:rFonts w:ascii="Times New Roman" w:hAnsi="Times New Roman" w:cs="Times New Roman"/>
                <w:lang w:val="en-US"/>
              </w:rPr>
              <w:t>Techno</w:t>
            </w:r>
            <w:r>
              <w:rPr>
                <w:rFonts w:ascii="Times New Roman" w:hAnsi="Times New Roman" w:cs="Times New Roman"/>
              </w:rPr>
              <w:t>», предоставляющей право на получение доступа к сервису согласно выбранной программе, а также приобретение непериодического электронного издания первого тома из серии книг «</w:t>
            </w:r>
            <w:r>
              <w:rPr>
                <w:rFonts w:ascii="Times New Roman" w:hAnsi="Times New Roman" w:cs="Times New Roman"/>
                <w:lang w:val="en-US"/>
              </w:rPr>
              <w:t>I</w:t>
            </w:r>
            <w:r w:rsidRPr="00D920A6">
              <w:rPr>
                <w:rFonts w:ascii="Times New Roman" w:hAnsi="Times New Roman" w:cs="Times New Roman"/>
              </w:rPr>
              <w:t>-</w:t>
            </w:r>
            <w:r>
              <w:rPr>
                <w:rFonts w:ascii="Times New Roman" w:hAnsi="Times New Roman" w:cs="Times New Roman"/>
                <w:lang w:val="en-US"/>
              </w:rPr>
              <w:t>Car</w:t>
            </w:r>
            <w:r w:rsidRPr="00D920A6">
              <w:rPr>
                <w:rFonts w:ascii="Times New Roman" w:hAnsi="Times New Roman" w:cs="Times New Roman"/>
              </w:rPr>
              <w:t xml:space="preserve"> </w:t>
            </w:r>
            <w:r>
              <w:rPr>
                <w:rFonts w:ascii="Times New Roman" w:hAnsi="Times New Roman" w:cs="Times New Roman"/>
                <w:lang w:val="en-US"/>
              </w:rPr>
              <w:t>on</w:t>
            </w:r>
            <w:r w:rsidRPr="00D920A6">
              <w:rPr>
                <w:rFonts w:ascii="Times New Roman" w:hAnsi="Times New Roman" w:cs="Times New Roman"/>
              </w:rPr>
              <w:t xml:space="preserve"> </w:t>
            </w:r>
            <w:r>
              <w:rPr>
                <w:rFonts w:ascii="Times New Roman" w:hAnsi="Times New Roman" w:cs="Times New Roman"/>
                <w:lang w:val="en-US"/>
              </w:rPr>
              <w:t>road</w:t>
            </w:r>
            <w:r>
              <w:rPr>
                <w:rFonts w:ascii="Times New Roman" w:hAnsi="Times New Roman" w:cs="Times New Roman"/>
              </w:rPr>
              <w:t xml:space="preserve">», размещенного на техническом носителе </w:t>
            </w:r>
            <w:r w:rsidRPr="00D920A6">
              <w:rPr>
                <w:rFonts w:ascii="Times New Roman" w:hAnsi="Times New Roman" w:cs="Times New Roman"/>
              </w:rPr>
              <w:t xml:space="preserve">(USB flash </w:t>
            </w:r>
            <w:r w:rsidRPr="00D920A6">
              <w:rPr>
                <w:rFonts w:ascii="Times New Roman" w:hAnsi="Times New Roman" w:cs="Times New Roman"/>
              </w:rPr>
              <w:br/>
              <w:t>накопителе)</w:t>
            </w:r>
            <w:r w:rsidR="00AF2888">
              <w:rPr>
                <w:rFonts w:ascii="Times New Roman" w:hAnsi="Times New Roman" w:cs="Times New Roman"/>
              </w:rPr>
              <w:t xml:space="preserve">. Также потребителем было подписано заявление на перевод денежных средств в размере 200 000 рублей с назначением платежа </w:t>
            </w:r>
            <w:r w:rsidR="00AF2888" w:rsidRPr="00AF2888">
              <w:rPr>
                <w:rFonts w:ascii="Times New Roman" w:hAnsi="Times New Roman" w:cs="Times New Roman"/>
              </w:rPr>
              <w:t>«Оплата дополнительной услуги «Карта помощи на дорогах»</w:t>
            </w:r>
            <w:r w:rsidR="009B477C">
              <w:rPr>
                <w:rFonts w:ascii="Times New Roman" w:hAnsi="Times New Roman" w:cs="Times New Roman"/>
              </w:rPr>
              <w:t>. Цена Договора складывалась</w:t>
            </w:r>
            <w:r w:rsidR="00370495" w:rsidRPr="00370495">
              <w:rPr>
                <w:rFonts w:ascii="Times New Roman" w:hAnsi="Times New Roman" w:cs="Times New Roman"/>
              </w:rPr>
              <w:t xml:space="preserve"> из стоимости </w:t>
            </w:r>
            <w:r w:rsidR="00276429">
              <w:rPr>
                <w:rFonts w:ascii="Times New Roman" w:hAnsi="Times New Roman" w:cs="Times New Roman"/>
              </w:rPr>
              <w:t>а</w:t>
            </w:r>
            <w:r w:rsidR="00370495" w:rsidRPr="00370495">
              <w:rPr>
                <w:rFonts w:ascii="Times New Roman" w:hAnsi="Times New Roman" w:cs="Times New Roman"/>
              </w:rPr>
              <w:t>услуг (доступ к сервису услуг), что составляет 5 процентов от стоимости Карты помощи на дорог</w:t>
            </w:r>
            <w:r w:rsidR="009B477C">
              <w:rPr>
                <w:rFonts w:ascii="Times New Roman" w:hAnsi="Times New Roman" w:cs="Times New Roman"/>
              </w:rPr>
              <w:t>ах (10 000 рублей</w:t>
            </w:r>
            <w:r w:rsidR="00370495" w:rsidRPr="00370495">
              <w:rPr>
                <w:rFonts w:ascii="Times New Roman" w:hAnsi="Times New Roman" w:cs="Times New Roman"/>
              </w:rPr>
              <w:t>) и стоимости товара, что составляет 95 процентов от стоимости Карты помощи на д</w:t>
            </w:r>
            <w:r w:rsidR="009B477C">
              <w:rPr>
                <w:rFonts w:ascii="Times New Roman" w:hAnsi="Times New Roman" w:cs="Times New Roman"/>
              </w:rPr>
              <w:t>орогах (190 000 рублей</w:t>
            </w:r>
            <w:r w:rsidR="00370495" w:rsidRPr="00370495">
              <w:rPr>
                <w:rFonts w:ascii="Times New Roman" w:hAnsi="Times New Roman" w:cs="Times New Roman"/>
              </w:rPr>
              <w:t xml:space="preserve">). </w:t>
            </w:r>
            <w:r w:rsidR="000A7C39">
              <w:rPr>
                <w:rFonts w:ascii="Times New Roman" w:hAnsi="Times New Roman" w:cs="Times New Roman"/>
              </w:rPr>
              <w:t xml:space="preserve">Впоследствии потребитель обратился с требованием о возврате указанных денежных средств </w:t>
            </w:r>
            <w:r w:rsidR="00CA7AC6">
              <w:rPr>
                <w:rFonts w:ascii="Times New Roman" w:hAnsi="Times New Roman" w:cs="Times New Roman"/>
              </w:rPr>
              <w:t xml:space="preserve">на основании частей </w:t>
            </w:r>
            <w:r w:rsidR="00CA7AC6">
              <w:rPr>
                <w:rFonts w:ascii="Times New Roman" w:hAnsi="Times New Roman" w:cs="Times New Roman"/>
              </w:rPr>
              <w:lastRenderedPageBreak/>
              <w:t xml:space="preserve">2.7, 2.9 статьи </w:t>
            </w:r>
            <w:r w:rsidR="000A7C39">
              <w:rPr>
                <w:rFonts w:ascii="Times New Roman" w:hAnsi="Times New Roman" w:cs="Times New Roman"/>
              </w:rPr>
              <w:t xml:space="preserve">7 Закона № 353-ФЗ, однако </w:t>
            </w:r>
            <w:r w:rsidR="00370495" w:rsidRPr="00370495">
              <w:rPr>
                <w:rFonts w:ascii="Times New Roman" w:hAnsi="Times New Roman" w:cs="Times New Roman"/>
              </w:rPr>
              <w:t>ООО «Союз Профи Эксперт» указало, что непериодическое электронное издание, размещенное на USB flash накопителе, входит в перечень непродовольственных товаров надлежащего качества, не подлежащих обмену (возврату), утвержденный Постановлением Правительства Российской Федерации от 31.12.2020 № 2463. ООО «Союз Профи Эксперт» сообщило, что в</w:t>
            </w:r>
            <w:r w:rsidR="007A3FCD">
              <w:rPr>
                <w:rFonts w:ascii="Times New Roman" w:hAnsi="Times New Roman" w:cs="Times New Roman"/>
              </w:rPr>
              <w:t xml:space="preserve"> связи с получением требования</w:t>
            </w:r>
            <w:r w:rsidR="00A23A68">
              <w:rPr>
                <w:rFonts w:ascii="Times New Roman" w:hAnsi="Times New Roman" w:cs="Times New Roman"/>
              </w:rPr>
              <w:t xml:space="preserve"> о возврате денежных средств,</w:t>
            </w:r>
            <w:r w:rsidR="00370495" w:rsidRPr="00370495">
              <w:rPr>
                <w:rFonts w:ascii="Times New Roman" w:hAnsi="Times New Roman" w:cs="Times New Roman"/>
              </w:rPr>
              <w:t xml:space="preserve"> Договор в части оказания услуг является расторгнутым, денежные средства в</w:t>
            </w:r>
            <w:r w:rsidR="00A23A68">
              <w:rPr>
                <w:rFonts w:ascii="Times New Roman" w:hAnsi="Times New Roman" w:cs="Times New Roman"/>
              </w:rPr>
              <w:t xml:space="preserve"> размере 10 000 рублей</w:t>
            </w:r>
            <w:r w:rsidR="00370495" w:rsidRPr="00370495">
              <w:rPr>
                <w:rFonts w:ascii="Times New Roman" w:hAnsi="Times New Roman" w:cs="Times New Roman"/>
              </w:rPr>
              <w:t xml:space="preserve"> будут возвращены Заявителю. Остальные денежные средства являются оплатой товара и возврату не подлежат.</w:t>
            </w:r>
            <w:r w:rsidR="00494DBD">
              <w:rPr>
                <w:rFonts w:ascii="Times New Roman" w:hAnsi="Times New Roman" w:cs="Times New Roman"/>
              </w:rPr>
              <w:t xml:space="preserve"> Финансовая организация также отказала в возврате денежных средств в размере 190 000 рублей, сославшись на то, что денежные средства за дополнительную услугу уже возвращены ООО «Союз Профи Эксперт».</w:t>
            </w:r>
          </w:p>
          <w:p w:rsidR="00F009B6" w:rsidRPr="007441BA" w:rsidRDefault="00F009B6" w:rsidP="007D1EF7">
            <w:pPr>
              <w:jc w:val="both"/>
              <w:rPr>
                <w:rFonts w:ascii="Times New Roman" w:hAnsi="Times New Roman" w:cs="Times New Roman"/>
                <w:u w:val="single"/>
              </w:rPr>
            </w:pPr>
            <w:r w:rsidRPr="007441BA">
              <w:rPr>
                <w:rFonts w:ascii="Times New Roman" w:hAnsi="Times New Roman" w:cs="Times New Roman"/>
                <w:u w:val="single"/>
              </w:rPr>
              <w:t>Суть неприемлемой практики:</w:t>
            </w:r>
          </w:p>
          <w:p w:rsidR="00F009B6" w:rsidRPr="00DB4CAF" w:rsidRDefault="00CA7AC6" w:rsidP="007A3FCD">
            <w:pPr>
              <w:contextualSpacing/>
              <w:jc w:val="both"/>
              <w:rPr>
                <w:rFonts w:ascii="Times New Roman" w:hAnsi="Times New Roman" w:cs="Times New Roman"/>
              </w:rPr>
            </w:pPr>
            <w:r>
              <w:rPr>
                <w:rFonts w:ascii="Times New Roman" w:hAnsi="Times New Roman" w:cs="Times New Roman"/>
              </w:rPr>
              <w:t>Дополнительные услуги, оказываемые потребителю при предоставлении кредита, маскируются под товар, в целях обхода норм Закона № 353-ФЗ, предусматривающих обязанность</w:t>
            </w:r>
            <w:r w:rsidR="00C67530">
              <w:rPr>
                <w:rFonts w:ascii="Times New Roman" w:hAnsi="Times New Roman" w:cs="Times New Roman"/>
              </w:rPr>
              <w:t xml:space="preserve"> вернуть заемщику денежные средства в случае его отказа от дополнительной услуги.</w:t>
            </w:r>
            <w:r>
              <w:rPr>
                <w:rFonts w:ascii="Times New Roman" w:hAnsi="Times New Roman" w:cs="Times New Roman"/>
              </w:rPr>
              <w:t xml:space="preserve"> </w:t>
            </w:r>
            <w:r w:rsidR="00AB597F">
              <w:rPr>
                <w:rFonts w:ascii="Times New Roman" w:hAnsi="Times New Roman" w:cs="Times New Roman"/>
              </w:rPr>
              <w:t xml:space="preserve">В результате указанных недобросовестных действий финансовая организация приобретает возможность ссылаться на нормативные акты, предусматривающие невозможность возврата </w:t>
            </w:r>
            <w:r w:rsidR="002174EF">
              <w:rPr>
                <w:rFonts w:ascii="Times New Roman" w:hAnsi="Times New Roman" w:cs="Times New Roman"/>
              </w:rPr>
              <w:t xml:space="preserve">соответствующих </w:t>
            </w:r>
            <w:r w:rsidR="00AB597F">
              <w:rPr>
                <w:rFonts w:ascii="Times New Roman" w:hAnsi="Times New Roman" w:cs="Times New Roman"/>
              </w:rPr>
              <w:t>непродовольственных товаров</w:t>
            </w:r>
            <w:r w:rsidR="002174EF">
              <w:rPr>
                <w:rFonts w:ascii="Times New Roman" w:hAnsi="Times New Roman" w:cs="Times New Roman"/>
              </w:rPr>
              <w:t xml:space="preserve"> (печатных изданий)</w:t>
            </w:r>
            <w:r w:rsidR="00AB597F">
              <w:rPr>
                <w:rFonts w:ascii="Times New Roman" w:hAnsi="Times New Roman" w:cs="Times New Roman"/>
              </w:rPr>
              <w:t>, а потребитель утрачивает возможность вернуть денежные средства, уплаченные за дополнительную услугу.</w:t>
            </w:r>
          </w:p>
        </w:tc>
        <w:tc>
          <w:tcPr>
            <w:tcW w:w="2551" w:type="dxa"/>
          </w:tcPr>
          <w:p w:rsidR="008F74D5" w:rsidRPr="008F74D5" w:rsidRDefault="008F74D5" w:rsidP="008F74D5">
            <w:pPr>
              <w:contextualSpacing/>
              <w:jc w:val="center"/>
              <w:rPr>
                <w:rFonts w:ascii="Times New Roman" w:hAnsi="Times New Roman" w:cs="Times New Roman"/>
                <w:sz w:val="24"/>
                <w:szCs w:val="24"/>
              </w:rPr>
            </w:pPr>
            <w:r w:rsidRPr="008F74D5">
              <w:rPr>
                <w:rFonts w:ascii="Times New Roman" w:hAnsi="Times New Roman" w:cs="Times New Roman"/>
                <w:sz w:val="24"/>
                <w:szCs w:val="24"/>
              </w:rPr>
              <w:lastRenderedPageBreak/>
              <w:t>ПАО «БАНК УРАЛСИБ»</w:t>
            </w:r>
          </w:p>
          <w:p w:rsidR="00F009B6" w:rsidRPr="00FE0195" w:rsidRDefault="00F009B6" w:rsidP="001B5A97">
            <w:pPr>
              <w:contextualSpacing/>
              <w:jc w:val="center"/>
              <w:rPr>
                <w:rFonts w:ascii="Times New Roman" w:hAnsi="Times New Roman" w:cs="Times New Roman"/>
                <w:sz w:val="24"/>
                <w:szCs w:val="24"/>
              </w:rPr>
            </w:pPr>
          </w:p>
        </w:tc>
      </w:tr>
      <w:tr w:rsidR="000E38F6" w:rsidRPr="00CC0732" w:rsidTr="000E38F6">
        <w:trPr>
          <w:jc w:val="center"/>
        </w:trPr>
        <w:tc>
          <w:tcPr>
            <w:tcW w:w="819" w:type="dxa"/>
            <w:vMerge w:val="restart"/>
          </w:tcPr>
          <w:p w:rsidR="000E38F6" w:rsidRPr="00E328A1" w:rsidRDefault="000E38F6" w:rsidP="00227BF9">
            <w:pPr>
              <w:pStyle w:val="af2"/>
              <w:numPr>
                <w:ilvl w:val="0"/>
                <w:numId w:val="2"/>
              </w:numPr>
              <w:rPr>
                <w:rFonts w:ascii="Times New Roman" w:hAnsi="Times New Roman" w:cs="Times New Roman"/>
                <w:sz w:val="24"/>
                <w:szCs w:val="24"/>
              </w:rPr>
            </w:pPr>
          </w:p>
        </w:tc>
        <w:tc>
          <w:tcPr>
            <w:tcW w:w="2295" w:type="dxa"/>
            <w:vMerge w:val="restart"/>
          </w:tcPr>
          <w:p w:rsidR="000E38F6" w:rsidRPr="00615582" w:rsidRDefault="000E38F6" w:rsidP="000E38F6">
            <w:pPr>
              <w:contextualSpacing/>
              <w:jc w:val="center"/>
              <w:rPr>
                <w:rFonts w:ascii="Times New Roman" w:hAnsi="Times New Roman" w:cs="Times New Roman"/>
                <w:i/>
                <w:sz w:val="24"/>
                <w:szCs w:val="24"/>
              </w:rPr>
            </w:pPr>
            <w:r w:rsidRPr="00486B76">
              <w:rPr>
                <w:rFonts w:ascii="Times New Roman" w:hAnsi="Times New Roman" w:cs="Times New Roman"/>
                <w:i/>
                <w:sz w:val="24"/>
                <w:szCs w:val="24"/>
              </w:rPr>
              <w:t>Потребительское кредитование</w:t>
            </w:r>
          </w:p>
        </w:tc>
        <w:tc>
          <w:tcPr>
            <w:tcW w:w="7513" w:type="dxa"/>
          </w:tcPr>
          <w:p w:rsidR="009A5CD7" w:rsidRPr="00B32019" w:rsidRDefault="009A5CD7" w:rsidP="00A4341A">
            <w:pPr>
              <w:contextualSpacing/>
              <w:rPr>
                <w:rFonts w:ascii="Times New Roman" w:hAnsi="Times New Roman" w:cs="Times New Roman"/>
                <w:b/>
              </w:rPr>
            </w:pPr>
            <w:r w:rsidRPr="00B32019">
              <w:rPr>
                <w:rFonts w:ascii="Times New Roman" w:hAnsi="Times New Roman" w:cs="Times New Roman"/>
                <w:b/>
              </w:rPr>
              <w:t>В</w:t>
            </w:r>
            <w:r w:rsidR="00B32019" w:rsidRPr="00B32019">
              <w:rPr>
                <w:rFonts w:ascii="Times New Roman" w:hAnsi="Times New Roman" w:cs="Times New Roman"/>
                <w:b/>
              </w:rPr>
              <w:t>зимание несоразмерной комиссии за организацию страхования</w:t>
            </w:r>
          </w:p>
          <w:p w:rsidR="000E38F6" w:rsidRPr="00DB4CAF" w:rsidRDefault="000E38F6" w:rsidP="00227BF9">
            <w:pPr>
              <w:contextualSpacing/>
              <w:jc w:val="both"/>
              <w:rPr>
                <w:rFonts w:ascii="Times New Roman" w:hAnsi="Times New Roman" w:cs="Times New Roman"/>
                <w:u w:val="single"/>
              </w:rPr>
            </w:pPr>
            <w:r>
              <w:rPr>
                <w:rFonts w:ascii="Times New Roman" w:hAnsi="Times New Roman" w:cs="Times New Roman"/>
                <w:u w:val="single"/>
              </w:rPr>
              <w:t xml:space="preserve">2.1. </w:t>
            </w:r>
            <w:r w:rsidRPr="00DB4CAF">
              <w:rPr>
                <w:rFonts w:ascii="Times New Roman" w:hAnsi="Times New Roman" w:cs="Times New Roman"/>
                <w:u w:val="single"/>
              </w:rPr>
              <w:t>Требование потребителя финансовых услуг:</w:t>
            </w:r>
          </w:p>
          <w:p w:rsidR="000E38F6" w:rsidRDefault="000E38F6" w:rsidP="00227BF9">
            <w:pPr>
              <w:contextualSpacing/>
              <w:jc w:val="both"/>
              <w:rPr>
                <w:rFonts w:ascii="Times New Roman" w:hAnsi="Times New Roman" w:cs="Times New Roman"/>
              </w:rPr>
            </w:pPr>
            <w:r w:rsidRPr="00DB4CAF">
              <w:rPr>
                <w:rFonts w:ascii="Times New Roman" w:hAnsi="Times New Roman" w:cs="Times New Roman"/>
              </w:rPr>
              <w:t>К финансовому уполномоченному обратился потребитель</w:t>
            </w:r>
            <w:r>
              <w:rPr>
                <w:rFonts w:ascii="Times New Roman" w:hAnsi="Times New Roman" w:cs="Times New Roman"/>
              </w:rPr>
              <w:t xml:space="preserve"> финансовых услуг </w:t>
            </w:r>
            <w:r w:rsidRPr="00DB4CAF">
              <w:rPr>
                <w:rFonts w:ascii="Times New Roman" w:hAnsi="Times New Roman" w:cs="Times New Roman"/>
              </w:rPr>
              <w:t xml:space="preserve">с требованием о взыскании денежных средств, удержанных </w:t>
            </w:r>
            <w:r>
              <w:rPr>
                <w:rFonts w:ascii="Times New Roman" w:hAnsi="Times New Roman" w:cs="Times New Roman"/>
              </w:rPr>
              <w:t xml:space="preserve">финансовой организацией </w:t>
            </w:r>
            <w:r w:rsidRPr="00DB4CAF">
              <w:rPr>
                <w:rFonts w:ascii="Times New Roman" w:hAnsi="Times New Roman" w:cs="Times New Roman"/>
              </w:rPr>
              <w:t xml:space="preserve">в счет платы </w:t>
            </w:r>
            <w:r>
              <w:rPr>
                <w:rFonts w:ascii="Times New Roman" w:hAnsi="Times New Roman" w:cs="Times New Roman"/>
              </w:rPr>
              <w:t>за дополнительную услугу при предоставлении потребительского кредита, в результате оказания которой потребитель стал застрахованным лицом по договору коллективного личного страхования.</w:t>
            </w:r>
          </w:p>
          <w:p w:rsidR="000E38F6" w:rsidRDefault="000E38F6" w:rsidP="00227BF9">
            <w:pPr>
              <w:contextualSpacing/>
              <w:jc w:val="both"/>
              <w:rPr>
                <w:rFonts w:ascii="Times New Roman" w:hAnsi="Times New Roman" w:cs="Times New Roman"/>
                <w:u w:val="single"/>
              </w:rPr>
            </w:pPr>
            <w:r w:rsidRPr="00DB4CAF">
              <w:rPr>
                <w:rFonts w:ascii="Times New Roman" w:hAnsi="Times New Roman" w:cs="Times New Roman"/>
                <w:u w:val="single"/>
              </w:rPr>
              <w:t>Фактические обстоятельства:</w:t>
            </w:r>
          </w:p>
          <w:p w:rsidR="000E38F6" w:rsidRPr="00DB4CAF" w:rsidRDefault="000E38F6" w:rsidP="00227BF9">
            <w:pPr>
              <w:contextualSpacing/>
              <w:jc w:val="both"/>
              <w:rPr>
                <w:rFonts w:ascii="Times New Roman" w:hAnsi="Times New Roman" w:cs="Times New Roman"/>
                <w:u w:val="single"/>
              </w:rPr>
            </w:pPr>
            <w:r>
              <w:rPr>
                <w:rFonts w:ascii="Times New Roman" w:hAnsi="Times New Roman" w:cs="Times New Roman"/>
              </w:rPr>
              <w:t>При заключении кредитного договора потребитель выразил согласие на присоединение к коллективному договору страхования заемщиков в качестве застрахованного лица. Плата за присоединение к указанному договору в соответствии с утвержденными тарифами составила 69 881 рубль за весь срок страхования. При этом указанную сумму составляет страховая премия в размере 19 888 рублей и вознаграждение кредитной организации за оказание услуги за присоединение застрахованного лица к договору страхования в размере 49 993 рубля.</w:t>
            </w:r>
          </w:p>
          <w:p w:rsidR="000E38F6" w:rsidRPr="00DB4CAF" w:rsidRDefault="000E38F6" w:rsidP="00227BF9">
            <w:pPr>
              <w:contextualSpacing/>
              <w:jc w:val="both"/>
              <w:rPr>
                <w:rFonts w:ascii="Times New Roman" w:hAnsi="Times New Roman" w:cs="Times New Roman"/>
                <w:u w:val="single"/>
              </w:rPr>
            </w:pPr>
            <w:r w:rsidRPr="00DB4CAF">
              <w:rPr>
                <w:rFonts w:ascii="Times New Roman" w:hAnsi="Times New Roman" w:cs="Times New Roman"/>
                <w:u w:val="single"/>
              </w:rPr>
              <w:t>Суть неприемлемой практики:</w:t>
            </w:r>
          </w:p>
          <w:p w:rsidR="000E38F6" w:rsidRPr="00DB4CAF" w:rsidRDefault="000E38F6" w:rsidP="00227BF9">
            <w:pPr>
              <w:contextualSpacing/>
              <w:jc w:val="both"/>
              <w:rPr>
                <w:rFonts w:ascii="Times New Roman" w:hAnsi="Times New Roman" w:cs="Times New Roman"/>
              </w:rPr>
            </w:pPr>
            <w:r>
              <w:rPr>
                <w:rFonts w:ascii="Times New Roman" w:hAnsi="Times New Roman" w:cs="Times New Roman"/>
              </w:rPr>
              <w:lastRenderedPageBreak/>
              <w:t>Взимание финансовой организацией несоразмерной комиссии за оказание услуги по организации страхования.</w:t>
            </w:r>
          </w:p>
        </w:tc>
        <w:tc>
          <w:tcPr>
            <w:tcW w:w="2551" w:type="dxa"/>
          </w:tcPr>
          <w:p w:rsidR="000E38F6" w:rsidRDefault="000E38F6" w:rsidP="00944667">
            <w:pPr>
              <w:contextualSpacing/>
              <w:jc w:val="center"/>
              <w:rPr>
                <w:rFonts w:ascii="Times New Roman" w:hAnsi="Times New Roman" w:cs="Times New Roman"/>
                <w:sz w:val="24"/>
                <w:szCs w:val="24"/>
              </w:rPr>
            </w:pPr>
            <w:r w:rsidRPr="00CD7BD5">
              <w:rPr>
                <w:rFonts w:ascii="Times New Roman" w:hAnsi="Times New Roman" w:cs="Times New Roman"/>
                <w:sz w:val="24"/>
                <w:szCs w:val="24"/>
              </w:rPr>
              <w:lastRenderedPageBreak/>
              <w:t>АО «Россельхозбанк»</w:t>
            </w:r>
          </w:p>
          <w:p w:rsidR="000E38F6" w:rsidRDefault="000E38F6" w:rsidP="00944667">
            <w:pPr>
              <w:contextualSpacing/>
              <w:jc w:val="center"/>
              <w:rPr>
                <w:rFonts w:ascii="Times New Roman" w:hAnsi="Times New Roman" w:cs="Times New Roman"/>
                <w:sz w:val="24"/>
                <w:szCs w:val="24"/>
              </w:rPr>
            </w:pPr>
          </w:p>
        </w:tc>
      </w:tr>
      <w:tr w:rsidR="000E38F6" w:rsidRPr="00CC0732" w:rsidTr="000E38F6">
        <w:trPr>
          <w:jc w:val="center"/>
        </w:trPr>
        <w:tc>
          <w:tcPr>
            <w:tcW w:w="819" w:type="dxa"/>
            <w:vMerge/>
          </w:tcPr>
          <w:p w:rsidR="000E38F6" w:rsidRPr="00E328A1" w:rsidRDefault="000E38F6" w:rsidP="00227BF9">
            <w:pPr>
              <w:pStyle w:val="af2"/>
              <w:numPr>
                <w:ilvl w:val="0"/>
                <w:numId w:val="2"/>
              </w:numPr>
              <w:rPr>
                <w:rFonts w:ascii="Times New Roman" w:hAnsi="Times New Roman" w:cs="Times New Roman"/>
                <w:sz w:val="24"/>
                <w:szCs w:val="24"/>
              </w:rPr>
            </w:pPr>
          </w:p>
        </w:tc>
        <w:tc>
          <w:tcPr>
            <w:tcW w:w="2295" w:type="dxa"/>
            <w:vMerge/>
          </w:tcPr>
          <w:p w:rsidR="000E38F6" w:rsidRPr="00486B76" w:rsidRDefault="000E38F6" w:rsidP="00227BF9">
            <w:pPr>
              <w:contextualSpacing/>
              <w:jc w:val="center"/>
              <w:rPr>
                <w:rFonts w:ascii="Times New Roman" w:hAnsi="Times New Roman" w:cs="Times New Roman"/>
                <w:i/>
                <w:sz w:val="24"/>
                <w:szCs w:val="24"/>
              </w:rPr>
            </w:pPr>
          </w:p>
        </w:tc>
        <w:tc>
          <w:tcPr>
            <w:tcW w:w="7513" w:type="dxa"/>
          </w:tcPr>
          <w:p w:rsidR="000E38F6" w:rsidRPr="0015127D" w:rsidRDefault="000E38F6" w:rsidP="0015127D">
            <w:pPr>
              <w:contextualSpacing/>
              <w:jc w:val="both"/>
              <w:rPr>
                <w:rFonts w:ascii="Times New Roman" w:hAnsi="Times New Roman" w:cs="Times New Roman"/>
                <w:u w:val="single"/>
              </w:rPr>
            </w:pPr>
            <w:r>
              <w:rPr>
                <w:rFonts w:ascii="Times New Roman" w:hAnsi="Times New Roman" w:cs="Times New Roman"/>
                <w:u w:val="single"/>
              </w:rPr>
              <w:t xml:space="preserve">2.2. </w:t>
            </w:r>
            <w:r w:rsidRPr="0015127D">
              <w:rPr>
                <w:rFonts w:ascii="Times New Roman" w:hAnsi="Times New Roman" w:cs="Times New Roman"/>
                <w:u w:val="single"/>
              </w:rPr>
              <w:t>Требование потребителя финансовых услуг:</w:t>
            </w:r>
          </w:p>
          <w:p w:rsidR="000E38F6" w:rsidRPr="003751C1" w:rsidRDefault="000E38F6" w:rsidP="003751C1">
            <w:pPr>
              <w:contextualSpacing/>
              <w:jc w:val="both"/>
              <w:rPr>
                <w:rFonts w:ascii="Times New Roman" w:hAnsi="Times New Roman" w:cs="Times New Roman"/>
              </w:rPr>
            </w:pPr>
            <w:r w:rsidRPr="003751C1">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потребительского кредита, в результате оказания которой потребитель стал застрахованным лицом по договору коллективного личного страхования.</w:t>
            </w:r>
          </w:p>
          <w:p w:rsidR="000E38F6" w:rsidRPr="0015127D" w:rsidRDefault="000E38F6" w:rsidP="0015127D">
            <w:pPr>
              <w:contextualSpacing/>
              <w:jc w:val="both"/>
              <w:rPr>
                <w:rFonts w:ascii="Times New Roman" w:hAnsi="Times New Roman" w:cs="Times New Roman"/>
                <w:u w:val="single"/>
              </w:rPr>
            </w:pPr>
            <w:r w:rsidRPr="0015127D">
              <w:rPr>
                <w:rFonts w:ascii="Times New Roman" w:hAnsi="Times New Roman" w:cs="Times New Roman"/>
                <w:u w:val="single"/>
              </w:rPr>
              <w:t>Фактические обстоятельства:</w:t>
            </w:r>
          </w:p>
          <w:p w:rsidR="000E38F6" w:rsidRPr="00DB3B72" w:rsidRDefault="000E38F6" w:rsidP="00DB3B72">
            <w:pPr>
              <w:contextualSpacing/>
              <w:jc w:val="both"/>
              <w:rPr>
                <w:rFonts w:ascii="Times New Roman" w:hAnsi="Times New Roman" w:cs="Times New Roman"/>
                <w:u w:val="single"/>
              </w:rPr>
            </w:pPr>
            <w:r w:rsidRPr="00DB3B72">
              <w:rPr>
                <w:rFonts w:ascii="Times New Roman" w:hAnsi="Times New Roman" w:cs="Times New Roman"/>
              </w:rPr>
              <w:t>При заключении кредитного договора потребитель выразил согласие на присоединение к коллективному договору страхования заемщиков в качестве застрахованного лица. Плата за присоединение к указанному договору в соответствии с утвержде</w:t>
            </w:r>
            <w:r>
              <w:rPr>
                <w:rFonts w:ascii="Times New Roman" w:hAnsi="Times New Roman" w:cs="Times New Roman"/>
              </w:rPr>
              <w:t>нными тарифами составила 262 800 рублей</w:t>
            </w:r>
            <w:r w:rsidRPr="00DB3B72">
              <w:rPr>
                <w:rFonts w:ascii="Times New Roman" w:hAnsi="Times New Roman" w:cs="Times New Roman"/>
              </w:rPr>
              <w:t xml:space="preserve"> за весь срок страхования. При этом указанную сумму составля</w:t>
            </w:r>
            <w:r>
              <w:rPr>
                <w:rFonts w:ascii="Times New Roman" w:hAnsi="Times New Roman" w:cs="Times New Roman"/>
              </w:rPr>
              <w:t>ет страховая премия в размере 61 320</w:t>
            </w:r>
            <w:r w:rsidRPr="00DB3B72">
              <w:rPr>
                <w:rFonts w:ascii="Times New Roman" w:hAnsi="Times New Roman" w:cs="Times New Roman"/>
              </w:rPr>
              <w:t xml:space="preserve"> рублей и вознаграждение кредитной организации за оказание услуги за присоединение застрахованного лица к д</w:t>
            </w:r>
            <w:r>
              <w:rPr>
                <w:rFonts w:ascii="Times New Roman" w:hAnsi="Times New Roman" w:cs="Times New Roman"/>
              </w:rPr>
              <w:t>оговору страхования в размере 201 480</w:t>
            </w:r>
            <w:r w:rsidRPr="00DB3B72">
              <w:rPr>
                <w:rFonts w:ascii="Times New Roman" w:hAnsi="Times New Roman" w:cs="Times New Roman"/>
              </w:rPr>
              <w:t xml:space="preserve"> рубл</w:t>
            </w:r>
            <w:r>
              <w:rPr>
                <w:rFonts w:ascii="Times New Roman" w:hAnsi="Times New Roman" w:cs="Times New Roman"/>
              </w:rPr>
              <w:t>ей</w:t>
            </w:r>
            <w:r w:rsidRPr="00DB3B72">
              <w:rPr>
                <w:rFonts w:ascii="Times New Roman" w:hAnsi="Times New Roman" w:cs="Times New Roman"/>
              </w:rPr>
              <w:t>.</w:t>
            </w:r>
          </w:p>
          <w:p w:rsidR="000E38F6" w:rsidRPr="0015127D" w:rsidRDefault="000E38F6" w:rsidP="0015127D">
            <w:pPr>
              <w:contextualSpacing/>
              <w:jc w:val="both"/>
              <w:rPr>
                <w:rFonts w:ascii="Times New Roman" w:hAnsi="Times New Roman" w:cs="Times New Roman"/>
                <w:u w:val="single"/>
              </w:rPr>
            </w:pPr>
            <w:r w:rsidRPr="0015127D">
              <w:rPr>
                <w:rFonts w:ascii="Times New Roman" w:hAnsi="Times New Roman" w:cs="Times New Roman"/>
                <w:u w:val="single"/>
              </w:rPr>
              <w:t>Суть неприемлемой практики:</w:t>
            </w:r>
          </w:p>
          <w:p w:rsidR="000E38F6" w:rsidRPr="0015127D" w:rsidRDefault="000E38F6" w:rsidP="0015127D">
            <w:pPr>
              <w:contextualSpacing/>
              <w:jc w:val="both"/>
              <w:rPr>
                <w:rFonts w:ascii="Times New Roman" w:hAnsi="Times New Roman" w:cs="Times New Roman"/>
              </w:rPr>
            </w:pPr>
            <w:r w:rsidRPr="00AD5AEB">
              <w:rPr>
                <w:rFonts w:ascii="Times New Roman" w:hAnsi="Times New Roman" w:cs="Times New Roman"/>
              </w:rPr>
              <w:t>Взимание финансовой организацией несоразмерной комиссии за оказание услуги по организации страхования.</w:t>
            </w:r>
          </w:p>
        </w:tc>
        <w:tc>
          <w:tcPr>
            <w:tcW w:w="2551" w:type="dxa"/>
          </w:tcPr>
          <w:p w:rsidR="000E38F6" w:rsidRDefault="000E38F6" w:rsidP="00944667">
            <w:pPr>
              <w:contextualSpacing/>
              <w:jc w:val="center"/>
              <w:rPr>
                <w:rFonts w:ascii="Times New Roman" w:hAnsi="Times New Roman" w:cs="Times New Roman"/>
                <w:sz w:val="24"/>
                <w:szCs w:val="24"/>
              </w:rPr>
            </w:pPr>
            <w:r>
              <w:rPr>
                <w:rFonts w:ascii="Times New Roman" w:hAnsi="Times New Roman" w:cs="Times New Roman"/>
                <w:sz w:val="24"/>
                <w:szCs w:val="24"/>
              </w:rPr>
              <w:t>АО «Райффайзенбанк»</w:t>
            </w:r>
          </w:p>
          <w:p w:rsidR="001069D9" w:rsidRPr="00486B76" w:rsidRDefault="001069D9" w:rsidP="00944667">
            <w:pPr>
              <w:contextualSpacing/>
              <w:jc w:val="center"/>
              <w:rPr>
                <w:rFonts w:ascii="Times New Roman" w:hAnsi="Times New Roman" w:cs="Times New Roman"/>
                <w:sz w:val="24"/>
                <w:szCs w:val="24"/>
              </w:rPr>
            </w:pPr>
          </w:p>
        </w:tc>
      </w:tr>
      <w:tr w:rsidR="00B779F8" w:rsidRPr="00CC0732" w:rsidTr="000E38F6">
        <w:trPr>
          <w:jc w:val="center"/>
        </w:trPr>
        <w:tc>
          <w:tcPr>
            <w:tcW w:w="819" w:type="dxa"/>
          </w:tcPr>
          <w:p w:rsidR="00B779F8" w:rsidRPr="00E328A1" w:rsidRDefault="00B779F8" w:rsidP="00227BF9">
            <w:pPr>
              <w:pStyle w:val="af2"/>
              <w:numPr>
                <w:ilvl w:val="0"/>
                <w:numId w:val="2"/>
              </w:numPr>
              <w:rPr>
                <w:rFonts w:ascii="Times New Roman" w:hAnsi="Times New Roman" w:cs="Times New Roman"/>
                <w:sz w:val="24"/>
                <w:szCs w:val="24"/>
              </w:rPr>
            </w:pPr>
          </w:p>
        </w:tc>
        <w:tc>
          <w:tcPr>
            <w:tcW w:w="2295" w:type="dxa"/>
          </w:tcPr>
          <w:p w:rsidR="00B779F8" w:rsidRPr="0015127D" w:rsidRDefault="00B779F8" w:rsidP="00227BF9">
            <w:pPr>
              <w:contextualSpacing/>
              <w:jc w:val="center"/>
              <w:rPr>
                <w:rFonts w:ascii="Times New Roman" w:hAnsi="Times New Roman" w:cs="Times New Roman"/>
                <w:i/>
                <w:sz w:val="24"/>
                <w:szCs w:val="24"/>
              </w:rPr>
            </w:pPr>
            <w:r>
              <w:rPr>
                <w:rFonts w:ascii="Times New Roman" w:hAnsi="Times New Roman" w:cs="Times New Roman"/>
                <w:i/>
                <w:sz w:val="24"/>
                <w:szCs w:val="24"/>
              </w:rPr>
              <w:t>Открытие и ведение банковских счетов</w:t>
            </w:r>
          </w:p>
        </w:tc>
        <w:tc>
          <w:tcPr>
            <w:tcW w:w="7513" w:type="dxa"/>
          </w:tcPr>
          <w:p w:rsidR="00FA6C3F" w:rsidRPr="00FA6C3F" w:rsidRDefault="00FA6C3F" w:rsidP="00A4341A">
            <w:pPr>
              <w:contextualSpacing/>
              <w:rPr>
                <w:rFonts w:ascii="Times New Roman" w:hAnsi="Times New Roman" w:cs="Times New Roman"/>
                <w:b/>
              </w:rPr>
            </w:pPr>
            <w:r w:rsidRPr="00FA6C3F">
              <w:rPr>
                <w:rFonts w:ascii="Times New Roman" w:hAnsi="Times New Roman" w:cs="Times New Roman"/>
                <w:b/>
              </w:rPr>
              <w:t xml:space="preserve">Одностороннее изменение </w:t>
            </w:r>
            <w:r w:rsidR="002174EF">
              <w:rPr>
                <w:rFonts w:ascii="Times New Roman" w:hAnsi="Times New Roman" w:cs="Times New Roman"/>
                <w:b/>
              </w:rPr>
              <w:t>условий договора в части тарифов по валютному счету</w:t>
            </w:r>
          </w:p>
          <w:p w:rsidR="00FA6C3F" w:rsidRPr="0015127D" w:rsidRDefault="00B779F8" w:rsidP="00B779F8">
            <w:pPr>
              <w:contextualSpacing/>
              <w:jc w:val="both"/>
              <w:rPr>
                <w:rFonts w:ascii="Times New Roman" w:hAnsi="Times New Roman" w:cs="Times New Roman"/>
                <w:u w:val="single"/>
              </w:rPr>
            </w:pPr>
            <w:r w:rsidRPr="0015127D">
              <w:rPr>
                <w:rFonts w:ascii="Times New Roman" w:hAnsi="Times New Roman" w:cs="Times New Roman"/>
                <w:u w:val="single"/>
              </w:rPr>
              <w:t>Требование потребителя финансовых услуг:</w:t>
            </w:r>
          </w:p>
          <w:p w:rsidR="00B779F8" w:rsidRPr="0015127D" w:rsidRDefault="00B779F8" w:rsidP="00B779F8">
            <w:pPr>
              <w:contextualSpacing/>
              <w:jc w:val="both"/>
              <w:rPr>
                <w:rFonts w:ascii="Times New Roman" w:hAnsi="Times New Roman" w:cs="Times New Roman"/>
              </w:rPr>
            </w:pPr>
            <w:r w:rsidRPr="0015127D">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w:t>
            </w:r>
            <w:r w:rsidR="00A066AB">
              <w:rPr>
                <w:rFonts w:ascii="Times New Roman" w:hAnsi="Times New Roman" w:cs="Times New Roman"/>
              </w:rPr>
              <w:t>о</w:t>
            </w:r>
            <w:r w:rsidRPr="0015127D">
              <w:rPr>
                <w:rFonts w:ascii="Times New Roman" w:hAnsi="Times New Roman" w:cs="Times New Roman"/>
              </w:rPr>
              <w:t xml:space="preserve">платы </w:t>
            </w:r>
            <w:r w:rsidR="00A066AB">
              <w:rPr>
                <w:rFonts w:ascii="Times New Roman" w:hAnsi="Times New Roman" w:cs="Times New Roman"/>
              </w:rPr>
              <w:t>комиссии за обслуживание валютного счета.</w:t>
            </w:r>
          </w:p>
          <w:p w:rsidR="00B779F8" w:rsidRPr="0015127D" w:rsidRDefault="00B779F8" w:rsidP="00B779F8">
            <w:pPr>
              <w:contextualSpacing/>
              <w:jc w:val="both"/>
              <w:rPr>
                <w:rFonts w:ascii="Times New Roman" w:hAnsi="Times New Roman" w:cs="Times New Roman"/>
                <w:u w:val="single"/>
              </w:rPr>
            </w:pPr>
            <w:r w:rsidRPr="0015127D">
              <w:rPr>
                <w:rFonts w:ascii="Times New Roman" w:hAnsi="Times New Roman" w:cs="Times New Roman"/>
                <w:u w:val="single"/>
              </w:rPr>
              <w:t>Фактические обстоятельства:</w:t>
            </w:r>
          </w:p>
          <w:p w:rsidR="00B779F8" w:rsidRDefault="00B779F8" w:rsidP="00F72216">
            <w:pPr>
              <w:contextualSpacing/>
              <w:jc w:val="both"/>
              <w:rPr>
                <w:rFonts w:ascii="Times New Roman" w:hAnsi="Times New Roman" w:cs="Times New Roman"/>
              </w:rPr>
            </w:pPr>
            <w:r>
              <w:rPr>
                <w:rFonts w:ascii="Times New Roman" w:hAnsi="Times New Roman" w:cs="Times New Roman"/>
              </w:rPr>
              <w:t xml:space="preserve">Между потребителем и финансовой организацией был заключен договор </w:t>
            </w:r>
            <w:r w:rsidR="00F72216">
              <w:rPr>
                <w:rFonts w:ascii="Times New Roman" w:hAnsi="Times New Roman" w:cs="Times New Roman"/>
              </w:rPr>
              <w:t xml:space="preserve">расчетной карты, в рамках которого потребителю открыт счет в валюте доллар США и выпущена расчетная карта. В дальнейшем </w:t>
            </w:r>
            <w:r w:rsidR="00720833">
              <w:rPr>
                <w:rFonts w:ascii="Times New Roman" w:hAnsi="Times New Roman" w:cs="Times New Roman"/>
              </w:rPr>
              <w:t xml:space="preserve">кредитной организацией </w:t>
            </w:r>
            <w:r w:rsidR="00F72216">
              <w:rPr>
                <w:rFonts w:ascii="Times New Roman" w:hAnsi="Times New Roman" w:cs="Times New Roman"/>
              </w:rPr>
              <w:t xml:space="preserve">со счета осуществлено списание денежных средств в счет платы за обслуживание </w:t>
            </w:r>
            <w:r w:rsidR="00720833">
              <w:rPr>
                <w:rFonts w:ascii="Times New Roman" w:hAnsi="Times New Roman" w:cs="Times New Roman"/>
              </w:rPr>
              <w:t xml:space="preserve">указанного </w:t>
            </w:r>
            <w:r w:rsidR="00F72216">
              <w:rPr>
                <w:rFonts w:ascii="Times New Roman" w:hAnsi="Times New Roman" w:cs="Times New Roman"/>
              </w:rPr>
              <w:t>счета</w:t>
            </w:r>
            <w:r w:rsidR="00720833">
              <w:rPr>
                <w:rFonts w:ascii="Times New Roman" w:hAnsi="Times New Roman" w:cs="Times New Roman"/>
              </w:rPr>
              <w:t>. Потребитель обратился в финансовую организацию с претензией, содержащей требование о возврате удержанной комиссии за обслуживание счета</w:t>
            </w:r>
            <w:r w:rsidR="009D58FA">
              <w:rPr>
                <w:rFonts w:ascii="Times New Roman" w:hAnsi="Times New Roman" w:cs="Times New Roman"/>
              </w:rPr>
              <w:t>, так как размер указанной комиссии превышает размеры, установленные тарифом.</w:t>
            </w:r>
            <w:r w:rsidR="00720833">
              <w:rPr>
                <w:rFonts w:ascii="Times New Roman" w:hAnsi="Times New Roman" w:cs="Times New Roman"/>
              </w:rPr>
              <w:t xml:space="preserve"> В ответ финансовая организация уведомила потребителя о том, что плата за обслуживание списана правомерно по </w:t>
            </w:r>
            <w:r w:rsidR="009D58FA">
              <w:rPr>
                <w:rFonts w:ascii="Times New Roman" w:hAnsi="Times New Roman" w:cs="Times New Roman"/>
              </w:rPr>
              <w:t xml:space="preserve">действующим </w:t>
            </w:r>
            <w:r w:rsidR="00720833">
              <w:rPr>
                <w:rFonts w:ascii="Times New Roman" w:hAnsi="Times New Roman" w:cs="Times New Roman"/>
              </w:rPr>
              <w:t>условиям тарифа.</w:t>
            </w:r>
          </w:p>
          <w:p w:rsidR="009D58FA" w:rsidRPr="0015127D" w:rsidRDefault="009D58FA" w:rsidP="00F72216">
            <w:pPr>
              <w:contextualSpacing/>
              <w:jc w:val="both"/>
              <w:rPr>
                <w:rFonts w:ascii="Times New Roman" w:hAnsi="Times New Roman" w:cs="Times New Roman"/>
              </w:rPr>
            </w:pPr>
            <w:r>
              <w:rPr>
                <w:rFonts w:ascii="Times New Roman" w:hAnsi="Times New Roman" w:cs="Times New Roman"/>
              </w:rPr>
              <w:t>При рассмотрении обращения Финансовым уполномоченным было установлено, что согласно тарифному плану, действующему на момент заключения договора с потребителем (ТПС 3.0 доллары США)</w:t>
            </w:r>
            <w:r w:rsidR="00A23997">
              <w:rPr>
                <w:rFonts w:ascii="Times New Roman" w:hAnsi="Times New Roman" w:cs="Times New Roman"/>
              </w:rPr>
              <w:t>,</w:t>
            </w:r>
            <w:r>
              <w:rPr>
                <w:rFonts w:ascii="Times New Roman" w:hAnsi="Times New Roman" w:cs="Times New Roman"/>
              </w:rPr>
              <w:t xml:space="preserve"> ежедневная </w:t>
            </w:r>
            <w:r>
              <w:rPr>
                <w:rFonts w:ascii="Times New Roman" w:hAnsi="Times New Roman" w:cs="Times New Roman"/>
              </w:rPr>
              <w:lastRenderedPageBreak/>
              <w:t>плата за обслуживание счета не взималась. Однако согласно п. 4.2 указанного тарифного плана, действующего с 23.06.2022, за остаток на счете свыше 10 000 долларов США Финансовой организацией предусмотрено взимание ежедневной платы за обслуживани</w:t>
            </w:r>
            <w:r w:rsidR="00261253">
              <w:rPr>
                <w:rFonts w:ascii="Times New Roman" w:hAnsi="Times New Roman" w:cs="Times New Roman"/>
              </w:rPr>
              <w:t xml:space="preserve">е в размере 6 процентов годовых, </w:t>
            </w:r>
            <w:r w:rsidR="00F97967">
              <w:rPr>
                <w:rFonts w:ascii="Times New Roman" w:hAnsi="Times New Roman" w:cs="Times New Roman"/>
              </w:rPr>
              <w:t xml:space="preserve">информация </w:t>
            </w:r>
            <w:r w:rsidR="00261253">
              <w:rPr>
                <w:rFonts w:ascii="Times New Roman" w:hAnsi="Times New Roman" w:cs="Times New Roman"/>
              </w:rPr>
              <w:t>о чем была размещена на сайте организации.</w:t>
            </w:r>
          </w:p>
          <w:p w:rsidR="00B779F8" w:rsidRPr="0015127D" w:rsidRDefault="00B779F8" w:rsidP="00B779F8">
            <w:pPr>
              <w:contextualSpacing/>
              <w:jc w:val="both"/>
              <w:rPr>
                <w:rFonts w:ascii="Times New Roman" w:hAnsi="Times New Roman" w:cs="Times New Roman"/>
                <w:u w:val="single"/>
              </w:rPr>
            </w:pPr>
            <w:r w:rsidRPr="0015127D">
              <w:rPr>
                <w:rFonts w:ascii="Times New Roman" w:hAnsi="Times New Roman" w:cs="Times New Roman"/>
                <w:u w:val="single"/>
              </w:rPr>
              <w:t>Суть неприемлемой практики:</w:t>
            </w:r>
          </w:p>
          <w:p w:rsidR="00B779F8" w:rsidRPr="0015127D" w:rsidRDefault="00876497" w:rsidP="00B779F8">
            <w:pPr>
              <w:contextualSpacing/>
              <w:jc w:val="both"/>
              <w:rPr>
                <w:rFonts w:ascii="Times New Roman" w:hAnsi="Times New Roman" w:cs="Times New Roman"/>
                <w:u w:val="single"/>
              </w:rPr>
            </w:pPr>
            <w:r>
              <w:rPr>
                <w:rFonts w:ascii="Times New Roman" w:hAnsi="Times New Roman" w:cs="Times New Roman"/>
              </w:rPr>
              <w:t>Одностороннее</w:t>
            </w:r>
            <w:r w:rsidR="00261253">
              <w:rPr>
                <w:rFonts w:ascii="Times New Roman" w:hAnsi="Times New Roman" w:cs="Times New Roman"/>
              </w:rPr>
              <w:t xml:space="preserve"> изменение</w:t>
            </w:r>
            <w:r w:rsidR="00B779F8">
              <w:rPr>
                <w:rFonts w:ascii="Times New Roman" w:hAnsi="Times New Roman" w:cs="Times New Roman"/>
              </w:rPr>
              <w:t xml:space="preserve"> тарифов без </w:t>
            </w:r>
            <w:r w:rsidR="00261253">
              <w:rPr>
                <w:rFonts w:ascii="Times New Roman" w:hAnsi="Times New Roman" w:cs="Times New Roman"/>
              </w:rPr>
              <w:t>получения согласия потребителя</w:t>
            </w:r>
            <w:r w:rsidR="00491EB0">
              <w:rPr>
                <w:rFonts w:ascii="Times New Roman" w:hAnsi="Times New Roman" w:cs="Times New Roman"/>
              </w:rPr>
              <w:t>.</w:t>
            </w:r>
          </w:p>
        </w:tc>
        <w:tc>
          <w:tcPr>
            <w:tcW w:w="2551" w:type="dxa"/>
          </w:tcPr>
          <w:p w:rsidR="00B779F8" w:rsidRDefault="00B779F8" w:rsidP="00944667">
            <w:pPr>
              <w:contextualSpacing/>
              <w:jc w:val="center"/>
              <w:rPr>
                <w:rFonts w:ascii="Times New Roman" w:hAnsi="Times New Roman" w:cs="Times New Roman"/>
                <w:sz w:val="24"/>
                <w:szCs w:val="24"/>
              </w:rPr>
            </w:pPr>
            <w:r w:rsidRPr="00B779F8">
              <w:rPr>
                <w:rFonts w:ascii="Times New Roman" w:hAnsi="Times New Roman" w:cs="Times New Roman"/>
                <w:sz w:val="24"/>
                <w:szCs w:val="24"/>
              </w:rPr>
              <w:lastRenderedPageBreak/>
              <w:t>АО «Тинькофф-Банк»</w:t>
            </w:r>
          </w:p>
          <w:p w:rsidR="002F58F6" w:rsidRDefault="002F58F6" w:rsidP="00944667">
            <w:pPr>
              <w:contextualSpacing/>
              <w:jc w:val="center"/>
              <w:rPr>
                <w:rFonts w:ascii="Times New Roman" w:hAnsi="Times New Roman" w:cs="Times New Roman"/>
                <w:sz w:val="24"/>
                <w:szCs w:val="24"/>
              </w:rPr>
            </w:pPr>
          </w:p>
        </w:tc>
      </w:tr>
      <w:tr w:rsidR="00F009B6" w:rsidRPr="00CC0732" w:rsidTr="000E38F6">
        <w:trPr>
          <w:jc w:val="center"/>
        </w:trPr>
        <w:tc>
          <w:tcPr>
            <w:tcW w:w="819" w:type="dxa"/>
          </w:tcPr>
          <w:p w:rsidR="00F009B6" w:rsidRPr="00E328A1" w:rsidRDefault="00F009B6" w:rsidP="00227BF9">
            <w:pPr>
              <w:pStyle w:val="af2"/>
              <w:numPr>
                <w:ilvl w:val="0"/>
                <w:numId w:val="2"/>
              </w:numPr>
              <w:rPr>
                <w:rFonts w:ascii="Times New Roman" w:hAnsi="Times New Roman" w:cs="Times New Roman"/>
                <w:sz w:val="24"/>
                <w:szCs w:val="24"/>
              </w:rPr>
            </w:pPr>
          </w:p>
        </w:tc>
        <w:tc>
          <w:tcPr>
            <w:tcW w:w="2295" w:type="dxa"/>
          </w:tcPr>
          <w:p w:rsidR="00F009B6" w:rsidRPr="002174EF" w:rsidRDefault="00F009B6" w:rsidP="0069359F">
            <w:pPr>
              <w:contextualSpacing/>
              <w:jc w:val="center"/>
              <w:rPr>
                <w:rFonts w:ascii="Times New Roman" w:hAnsi="Times New Roman" w:cs="Times New Roman"/>
                <w:i/>
                <w:sz w:val="24"/>
                <w:szCs w:val="24"/>
              </w:rPr>
            </w:pPr>
            <w:r w:rsidRPr="002174EF">
              <w:rPr>
                <w:rFonts w:ascii="Times New Roman" w:hAnsi="Times New Roman" w:cs="Times New Roman"/>
                <w:i/>
                <w:sz w:val="24"/>
                <w:szCs w:val="24"/>
              </w:rPr>
              <w:t>Потребительское кредитование</w:t>
            </w:r>
          </w:p>
          <w:p w:rsidR="00765EDB" w:rsidRPr="002174EF" w:rsidRDefault="00765EDB" w:rsidP="0069359F">
            <w:pPr>
              <w:contextualSpacing/>
              <w:jc w:val="center"/>
              <w:rPr>
                <w:rFonts w:ascii="Times New Roman" w:hAnsi="Times New Roman" w:cs="Times New Roman"/>
                <w:i/>
                <w:sz w:val="24"/>
                <w:szCs w:val="24"/>
              </w:rPr>
            </w:pPr>
            <w:r w:rsidRPr="002174EF">
              <w:rPr>
                <w:rFonts w:ascii="Times New Roman" w:hAnsi="Times New Roman" w:cs="Times New Roman"/>
                <w:i/>
                <w:sz w:val="24"/>
                <w:szCs w:val="24"/>
              </w:rPr>
              <w:t>Страхование</w:t>
            </w:r>
          </w:p>
        </w:tc>
        <w:tc>
          <w:tcPr>
            <w:tcW w:w="7513" w:type="dxa"/>
          </w:tcPr>
          <w:p w:rsidR="00DB3B17" w:rsidRPr="002174EF" w:rsidRDefault="00DB3B17" w:rsidP="00A4341A">
            <w:pPr>
              <w:contextualSpacing/>
              <w:rPr>
                <w:rFonts w:ascii="Times New Roman" w:hAnsi="Times New Roman" w:cs="Times New Roman"/>
                <w:b/>
              </w:rPr>
            </w:pPr>
            <w:r w:rsidRPr="002174EF">
              <w:rPr>
                <w:rFonts w:ascii="Times New Roman" w:hAnsi="Times New Roman" w:cs="Times New Roman"/>
                <w:b/>
              </w:rPr>
              <w:t>Введение в заблуждение относительно обеспечительности второго договора страхования (кейс «две страховки»)</w:t>
            </w:r>
          </w:p>
          <w:p w:rsidR="00F009B6" w:rsidRPr="002174EF" w:rsidRDefault="00F009B6" w:rsidP="00634F12">
            <w:pPr>
              <w:contextualSpacing/>
              <w:jc w:val="both"/>
              <w:rPr>
                <w:rFonts w:ascii="Times New Roman" w:hAnsi="Times New Roman" w:cs="Times New Roman"/>
                <w:u w:val="single"/>
              </w:rPr>
            </w:pPr>
            <w:r w:rsidRPr="002174EF">
              <w:rPr>
                <w:rFonts w:ascii="Times New Roman" w:hAnsi="Times New Roman" w:cs="Times New Roman"/>
                <w:u w:val="single"/>
              </w:rPr>
              <w:t>Требование потребителя финансовых услуг:</w:t>
            </w:r>
          </w:p>
          <w:p w:rsidR="00F009B6" w:rsidRPr="002174EF" w:rsidRDefault="00F009B6" w:rsidP="00634F12">
            <w:pPr>
              <w:contextualSpacing/>
              <w:jc w:val="both"/>
              <w:rPr>
                <w:rFonts w:ascii="Times New Roman" w:hAnsi="Times New Roman" w:cs="Times New Roman"/>
              </w:rPr>
            </w:pPr>
            <w:r w:rsidRPr="002174EF">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w:t>
            </w:r>
            <w:r w:rsidR="00001424" w:rsidRPr="002174EF">
              <w:rPr>
                <w:rFonts w:ascii="Times New Roman" w:hAnsi="Times New Roman" w:cs="Times New Roman"/>
              </w:rPr>
              <w:t>неиспользованной части страховой премии при досрочном расторжении договора страхования.</w:t>
            </w:r>
          </w:p>
          <w:p w:rsidR="00F009B6" w:rsidRPr="002174EF" w:rsidRDefault="00F009B6" w:rsidP="00634F12">
            <w:pPr>
              <w:contextualSpacing/>
              <w:jc w:val="both"/>
              <w:rPr>
                <w:rFonts w:ascii="Times New Roman" w:hAnsi="Times New Roman" w:cs="Times New Roman"/>
                <w:u w:val="single"/>
              </w:rPr>
            </w:pPr>
            <w:r w:rsidRPr="002174EF">
              <w:rPr>
                <w:rFonts w:ascii="Times New Roman" w:hAnsi="Times New Roman" w:cs="Times New Roman"/>
                <w:u w:val="single"/>
              </w:rPr>
              <w:t>Фактические обстоятельства:</w:t>
            </w:r>
          </w:p>
          <w:p w:rsidR="004546B9" w:rsidRPr="002174EF" w:rsidRDefault="004546B9" w:rsidP="00801405">
            <w:pPr>
              <w:contextualSpacing/>
              <w:jc w:val="both"/>
              <w:rPr>
                <w:rFonts w:ascii="Times New Roman" w:hAnsi="Times New Roman" w:cs="Times New Roman"/>
              </w:rPr>
            </w:pPr>
            <w:r w:rsidRPr="002174EF">
              <w:rPr>
                <w:rFonts w:ascii="Times New Roman" w:hAnsi="Times New Roman" w:cs="Times New Roman"/>
              </w:rPr>
              <w:t xml:space="preserve">Кредитным договором предусмотрено </w:t>
            </w:r>
            <w:r w:rsidR="0021722A" w:rsidRPr="002174EF">
              <w:rPr>
                <w:rFonts w:ascii="Times New Roman" w:hAnsi="Times New Roman" w:cs="Times New Roman"/>
              </w:rPr>
              <w:t>понижение процентной ставки при заключении заемщиком договора</w:t>
            </w:r>
            <w:r w:rsidR="008320F9" w:rsidRPr="002174EF">
              <w:rPr>
                <w:rFonts w:ascii="Times New Roman" w:hAnsi="Times New Roman" w:cs="Times New Roman"/>
              </w:rPr>
              <w:t xml:space="preserve"> личного страхования, соответствующего определенным критериям. При этом потребителю предлагается заключить два договора страхования. Оба указанных договора соответствуют критериям, отраженным в кредитной документации. </w:t>
            </w:r>
          </w:p>
          <w:p w:rsidR="0063327B" w:rsidRPr="002174EF" w:rsidRDefault="008320F9" w:rsidP="0063327B">
            <w:pPr>
              <w:contextualSpacing/>
              <w:jc w:val="both"/>
              <w:rPr>
                <w:rFonts w:ascii="Times New Roman" w:hAnsi="Times New Roman" w:cs="Times New Roman"/>
              </w:rPr>
            </w:pPr>
            <w:r w:rsidRPr="002174EF">
              <w:rPr>
                <w:rFonts w:ascii="Times New Roman" w:hAnsi="Times New Roman" w:cs="Times New Roman"/>
              </w:rPr>
              <w:t>В анкете на кредит один договор именуется как договор личного страхования, второй просто как договор страхования. Разница в наименовании программы также в одно слово (договор страхования заемщика от несчастных случаев и договор страхования заемщика от несчастных случаев Плюс). Анкета составлена таким образом, что понять, какой договор является обеспечительным, представляется затруднительным.</w:t>
            </w:r>
            <w:r w:rsidR="0063327B" w:rsidRPr="002174EF">
              <w:rPr>
                <w:rFonts w:ascii="Times New Roman" w:hAnsi="Times New Roman" w:cs="Times New Roman"/>
              </w:rPr>
              <w:t xml:space="preserve"> После досрочного погашения кредита и обращения к страховой организации с требованием о досрочном расторжении договора и возврате страховой премии пропорционально сроку действия договора страхования, </w:t>
            </w:r>
            <w:r w:rsidR="00D44A8E">
              <w:rPr>
                <w:rFonts w:ascii="Times New Roman" w:hAnsi="Times New Roman" w:cs="Times New Roman"/>
              </w:rPr>
              <w:t xml:space="preserve">финансовая </w:t>
            </w:r>
            <w:r w:rsidR="0063327B" w:rsidRPr="002174EF">
              <w:rPr>
                <w:rFonts w:ascii="Times New Roman" w:hAnsi="Times New Roman" w:cs="Times New Roman"/>
              </w:rPr>
              <w:t>организация сообщает потребителю об отсутствии правовых оснований для возврата неиспользованной части страховой премии, так как договор не являлся обеспечительным.</w:t>
            </w:r>
          </w:p>
          <w:p w:rsidR="0063327B" w:rsidRPr="002174EF" w:rsidRDefault="0063327B" w:rsidP="0063327B">
            <w:pPr>
              <w:contextualSpacing/>
              <w:jc w:val="both"/>
              <w:rPr>
                <w:rFonts w:ascii="Times New Roman" w:hAnsi="Times New Roman" w:cs="Times New Roman"/>
              </w:rPr>
            </w:pPr>
            <w:r w:rsidRPr="002174EF">
              <w:rPr>
                <w:rFonts w:ascii="Times New Roman" w:hAnsi="Times New Roman" w:cs="Times New Roman"/>
              </w:rPr>
              <w:t>При этом оба договора страхования полностью соответствует условиям для предоставления дисконта к процентной ставке, указанным в индивидуальных условиях кредитного договора.</w:t>
            </w:r>
          </w:p>
          <w:p w:rsidR="00F009B6" w:rsidRPr="002174EF" w:rsidRDefault="00F009B6" w:rsidP="00A60DAB">
            <w:pPr>
              <w:contextualSpacing/>
              <w:jc w:val="both"/>
              <w:rPr>
                <w:rFonts w:ascii="Times New Roman" w:hAnsi="Times New Roman" w:cs="Times New Roman"/>
                <w:u w:val="single"/>
              </w:rPr>
            </w:pPr>
            <w:r w:rsidRPr="002174EF">
              <w:rPr>
                <w:rFonts w:ascii="Times New Roman" w:hAnsi="Times New Roman" w:cs="Times New Roman"/>
                <w:u w:val="single"/>
              </w:rPr>
              <w:t>Суть неприемлемой практики:</w:t>
            </w:r>
          </w:p>
          <w:p w:rsidR="001464F4" w:rsidRPr="002174EF" w:rsidRDefault="00F16B0F" w:rsidP="00D44A8E">
            <w:pPr>
              <w:contextualSpacing/>
              <w:jc w:val="both"/>
              <w:rPr>
                <w:rFonts w:ascii="Times New Roman" w:hAnsi="Times New Roman" w:cs="Times New Roman"/>
              </w:rPr>
            </w:pPr>
            <w:r w:rsidRPr="002174EF">
              <w:rPr>
                <w:rFonts w:ascii="Times New Roman" w:hAnsi="Times New Roman" w:cs="Times New Roman"/>
              </w:rPr>
              <w:t>Кейс «2 страховки» - ф</w:t>
            </w:r>
            <w:r w:rsidR="00F009B6" w:rsidRPr="002174EF">
              <w:rPr>
                <w:rFonts w:ascii="Times New Roman" w:hAnsi="Times New Roman" w:cs="Times New Roman"/>
              </w:rPr>
              <w:t xml:space="preserve">ормирование условий </w:t>
            </w:r>
            <w:r w:rsidRPr="002174EF">
              <w:rPr>
                <w:rFonts w:ascii="Times New Roman" w:hAnsi="Times New Roman" w:cs="Times New Roman"/>
              </w:rPr>
              <w:t>кредитн</w:t>
            </w:r>
            <w:r w:rsidR="00D44A8E">
              <w:rPr>
                <w:rFonts w:ascii="Times New Roman" w:hAnsi="Times New Roman" w:cs="Times New Roman"/>
              </w:rPr>
              <w:t>ой</w:t>
            </w:r>
            <w:r w:rsidRPr="002174EF">
              <w:rPr>
                <w:rFonts w:ascii="Times New Roman" w:hAnsi="Times New Roman" w:cs="Times New Roman"/>
              </w:rPr>
              <w:t xml:space="preserve"> </w:t>
            </w:r>
            <w:r w:rsidR="0063327B" w:rsidRPr="002174EF">
              <w:rPr>
                <w:rFonts w:ascii="Times New Roman" w:hAnsi="Times New Roman" w:cs="Times New Roman"/>
              </w:rPr>
              <w:t>документаци</w:t>
            </w:r>
            <w:r w:rsidR="00D44A8E">
              <w:rPr>
                <w:rFonts w:ascii="Times New Roman" w:hAnsi="Times New Roman" w:cs="Times New Roman"/>
              </w:rPr>
              <w:t>и</w:t>
            </w:r>
            <w:r w:rsidR="0063327B" w:rsidRPr="002174EF">
              <w:rPr>
                <w:rFonts w:ascii="Times New Roman" w:hAnsi="Times New Roman" w:cs="Times New Roman"/>
              </w:rPr>
              <w:t xml:space="preserve"> таким образом, что у потребителя возникают основания полагать, что оба заключаемых договора страхо</w:t>
            </w:r>
            <w:r w:rsidRPr="002174EF">
              <w:rPr>
                <w:rFonts w:ascii="Times New Roman" w:hAnsi="Times New Roman" w:cs="Times New Roman"/>
              </w:rPr>
              <w:t xml:space="preserve">вания являются обеспечительными либо отсутствует возможность сразу понять, какой именно из двух договоров </w:t>
            </w:r>
            <w:r w:rsidRPr="002174EF">
              <w:rPr>
                <w:rFonts w:ascii="Times New Roman" w:hAnsi="Times New Roman" w:cs="Times New Roman"/>
              </w:rPr>
              <w:lastRenderedPageBreak/>
              <w:t>является обеспечительным</w:t>
            </w:r>
            <w:r w:rsidR="00D44A8E">
              <w:rPr>
                <w:rFonts w:ascii="Times New Roman" w:hAnsi="Times New Roman" w:cs="Times New Roman"/>
              </w:rPr>
              <w:t xml:space="preserve"> </w:t>
            </w:r>
            <w:r w:rsidR="00D44A8E" w:rsidRPr="002174EF">
              <w:rPr>
                <w:rFonts w:ascii="Times New Roman" w:hAnsi="Times New Roman" w:cs="Times New Roman"/>
              </w:rPr>
              <w:t>(</w:t>
            </w:r>
            <w:r w:rsidR="00D44A8E">
              <w:rPr>
                <w:rFonts w:ascii="Times New Roman" w:hAnsi="Times New Roman" w:cs="Times New Roman"/>
              </w:rPr>
              <w:t>то есть договором страхования,</w:t>
            </w:r>
            <w:r w:rsidR="00D44A8E" w:rsidRPr="002174EF">
              <w:rPr>
                <w:rFonts w:ascii="Times New Roman" w:hAnsi="Times New Roman" w:cs="Times New Roman"/>
              </w:rPr>
              <w:t xml:space="preserve"> в зависимости от заключения которого предлагаются разные условия кредитования)</w:t>
            </w:r>
            <w:r w:rsidRPr="002174EF">
              <w:rPr>
                <w:rFonts w:ascii="Times New Roman" w:hAnsi="Times New Roman" w:cs="Times New Roman"/>
              </w:rPr>
              <w:t>.</w:t>
            </w:r>
          </w:p>
        </w:tc>
        <w:tc>
          <w:tcPr>
            <w:tcW w:w="2551" w:type="dxa"/>
          </w:tcPr>
          <w:p w:rsidR="0057546A" w:rsidRPr="002174EF" w:rsidRDefault="00765EDB" w:rsidP="008C0CAD">
            <w:pPr>
              <w:contextualSpacing/>
              <w:jc w:val="center"/>
              <w:rPr>
                <w:rFonts w:ascii="Times New Roman" w:hAnsi="Times New Roman" w:cs="Times New Roman"/>
                <w:sz w:val="24"/>
                <w:szCs w:val="24"/>
              </w:rPr>
            </w:pPr>
            <w:r w:rsidRPr="002174EF">
              <w:rPr>
                <w:rFonts w:ascii="Times New Roman" w:hAnsi="Times New Roman" w:cs="Times New Roman"/>
                <w:sz w:val="24"/>
                <w:szCs w:val="24"/>
              </w:rPr>
              <w:lastRenderedPageBreak/>
              <w:t>«Газпромбанк» (АО)</w:t>
            </w:r>
            <w:r w:rsidR="000E38F6" w:rsidRPr="002174EF">
              <w:rPr>
                <w:rFonts w:ascii="Times New Roman" w:hAnsi="Times New Roman" w:cs="Times New Roman"/>
                <w:sz w:val="24"/>
                <w:szCs w:val="24"/>
              </w:rPr>
              <w:t>,</w:t>
            </w:r>
            <w:r w:rsidRPr="002174EF">
              <w:rPr>
                <w:rFonts w:ascii="Times New Roman" w:hAnsi="Times New Roman" w:cs="Times New Roman"/>
                <w:sz w:val="24"/>
                <w:szCs w:val="24"/>
              </w:rPr>
              <w:t xml:space="preserve"> АО </w:t>
            </w:r>
            <w:r w:rsidR="00F009B6" w:rsidRPr="002174EF">
              <w:rPr>
                <w:rFonts w:ascii="Times New Roman" w:hAnsi="Times New Roman" w:cs="Times New Roman"/>
                <w:sz w:val="24"/>
                <w:szCs w:val="24"/>
              </w:rPr>
              <w:t>«</w:t>
            </w:r>
            <w:r w:rsidR="008C0CAD" w:rsidRPr="002174EF">
              <w:rPr>
                <w:rFonts w:ascii="Times New Roman" w:hAnsi="Times New Roman" w:cs="Times New Roman"/>
                <w:sz w:val="24"/>
                <w:szCs w:val="24"/>
              </w:rPr>
              <w:t>СОГАЗ»</w:t>
            </w:r>
          </w:p>
          <w:p w:rsidR="00032490" w:rsidRPr="002174EF" w:rsidRDefault="00032490" w:rsidP="008C0CAD">
            <w:pPr>
              <w:contextualSpacing/>
              <w:jc w:val="center"/>
              <w:rPr>
                <w:rFonts w:ascii="Times New Roman" w:hAnsi="Times New Roman" w:cs="Times New Roman"/>
                <w:sz w:val="24"/>
                <w:szCs w:val="24"/>
              </w:rPr>
            </w:pPr>
          </w:p>
        </w:tc>
      </w:tr>
      <w:tr w:rsidR="00A95429" w:rsidRPr="00CC0732" w:rsidTr="000E38F6">
        <w:trPr>
          <w:jc w:val="center"/>
        </w:trPr>
        <w:tc>
          <w:tcPr>
            <w:tcW w:w="819" w:type="dxa"/>
          </w:tcPr>
          <w:p w:rsidR="00A95429" w:rsidRPr="00E328A1" w:rsidRDefault="00A95429" w:rsidP="00227BF9">
            <w:pPr>
              <w:pStyle w:val="af2"/>
              <w:numPr>
                <w:ilvl w:val="0"/>
                <w:numId w:val="2"/>
              </w:numPr>
              <w:rPr>
                <w:rFonts w:ascii="Times New Roman" w:hAnsi="Times New Roman" w:cs="Times New Roman"/>
                <w:sz w:val="24"/>
                <w:szCs w:val="24"/>
              </w:rPr>
            </w:pPr>
          </w:p>
        </w:tc>
        <w:tc>
          <w:tcPr>
            <w:tcW w:w="2295" w:type="dxa"/>
          </w:tcPr>
          <w:p w:rsidR="00A95429" w:rsidRDefault="00A95429" w:rsidP="00A95429">
            <w:pPr>
              <w:contextualSpacing/>
              <w:jc w:val="center"/>
              <w:rPr>
                <w:rFonts w:ascii="Times New Roman" w:hAnsi="Times New Roman" w:cs="Times New Roman"/>
                <w:i/>
                <w:sz w:val="24"/>
                <w:szCs w:val="24"/>
              </w:rPr>
            </w:pPr>
            <w:r w:rsidRPr="00634F12">
              <w:rPr>
                <w:rFonts w:ascii="Times New Roman" w:hAnsi="Times New Roman" w:cs="Times New Roman"/>
                <w:i/>
                <w:sz w:val="24"/>
                <w:szCs w:val="24"/>
              </w:rPr>
              <w:t>Потребительское кредитование</w:t>
            </w:r>
          </w:p>
          <w:p w:rsidR="00A95429" w:rsidRPr="00634F12" w:rsidRDefault="00A95429" w:rsidP="0069359F">
            <w:pPr>
              <w:contextualSpacing/>
              <w:jc w:val="center"/>
              <w:rPr>
                <w:rFonts w:ascii="Times New Roman" w:hAnsi="Times New Roman" w:cs="Times New Roman"/>
                <w:i/>
                <w:sz w:val="24"/>
                <w:szCs w:val="24"/>
              </w:rPr>
            </w:pPr>
          </w:p>
        </w:tc>
        <w:tc>
          <w:tcPr>
            <w:tcW w:w="7513" w:type="dxa"/>
          </w:tcPr>
          <w:p w:rsidR="009C5941" w:rsidRPr="001B5A97" w:rsidRDefault="009C5941" w:rsidP="00827CD6">
            <w:pPr>
              <w:contextualSpacing/>
              <w:rPr>
                <w:rFonts w:ascii="Times New Roman" w:hAnsi="Times New Roman" w:cs="Times New Roman"/>
                <w:b/>
              </w:rPr>
            </w:pPr>
            <w:r w:rsidRPr="009C5941">
              <w:rPr>
                <w:rFonts w:ascii="Times New Roman" w:hAnsi="Times New Roman" w:cs="Times New Roman"/>
                <w:b/>
              </w:rPr>
              <w:t xml:space="preserve">Одностороннее изменение </w:t>
            </w:r>
            <w:r w:rsidR="001B5A97">
              <w:rPr>
                <w:rFonts w:ascii="Times New Roman" w:hAnsi="Times New Roman" w:cs="Times New Roman"/>
                <w:b/>
              </w:rPr>
              <w:t xml:space="preserve">условий договора (в части размера </w:t>
            </w:r>
            <w:r w:rsidR="001B5A97">
              <w:rPr>
                <w:rFonts w:ascii="Times New Roman" w:hAnsi="Times New Roman" w:cs="Times New Roman"/>
                <w:b/>
                <w:lang w:val="en-US"/>
              </w:rPr>
              <w:t>cash</w:t>
            </w:r>
            <w:r w:rsidR="001B5A97" w:rsidRPr="001B5A97">
              <w:rPr>
                <w:rFonts w:ascii="Times New Roman" w:hAnsi="Times New Roman" w:cs="Times New Roman"/>
                <w:b/>
              </w:rPr>
              <w:t>-</w:t>
            </w:r>
            <w:r w:rsidR="001B5A97">
              <w:rPr>
                <w:rFonts w:ascii="Times New Roman" w:hAnsi="Times New Roman" w:cs="Times New Roman"/>
                <w:b/>
                <w:lang w:val="en-US"/>
              </w:rPr>
              <w:t>back</w:t>
            </w:r>
            <w:r w:rsidR="001B5A97" w:rsidRPr="001B5A97">
              <w:rPr>
                <w:rFonts w:ascii="Times New Roman" w:hAnsi="Times New Roman" w:cs="Times New Roman"/>
                <w:b/>
              </w:rPr>
              <w:t>)</w:t>
            </w:r>
          </w:p>
          <w:p w:rsidR="00A95429" w:rsidRPr="00634F12" w:rsidRDefault="00A95429" w:rsidP="00A95429">
            <w:pPr>
              <w:contextualSpacing/>
              <w:jc w:val="both"/>
              <w:rPr>
                <w:rFonts w:ascii="Times New Roman" w:hAnsi="Times New Roman" w:cs="Times New Roman"/>
                <w:u w:val="single"/>
              </w:rPr>
            </w:pPr>
            <w:r w:rsidRPr="00634F12">
              <w:rPr>
                <w:rFonts w:ascii="Times New Roman" w:hAnsi="Times New Roman" w:cs="Times New Roman"/>
                <w:u w:val="single"/>
              </w:rPr>
              <w:t>Требование потребителя финансовых услуг:</w:t>
            </w:r>
          </w:p>
          <w:p w:rsidR="00A95429" w:rsidRPr="00634F12" w:rsidRDefault="00A95429" w:rsidP="00A95429">
            <w:pPr>
              <w:contextualSpacing/>
              <w:jc w:val="both"/>
              <w:rPr>
                <w:rFonts w:ascii="Times New Roman" w:hAnsi="Times New Roman" w:cs="Times New Roman"/>
              </w:rPr>
            </w:pPr>
            <w:r w:rsidRPr="00634F12">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w:t>
            </w:r>
            <w:r w:rsidR="00EE740C">
              <w:rPr>
                <w:rFonts w:ascii="Times New Roman" w:hAnsi="Times New Roman" w:cs="Times New Roman"/>
              </w:rPr>
              <w:t>денежных средств, составляющих в соответствии с договором комплексного банковского обслуживания вознаграждение потребителю в рамках программы лояльности.</w:t>
            </w:r>
          </w:p>
          <w:p w:rsidR="00A95429" w:rsidRPr="00634F12" w:rsidRDefault="00A95429" w:rsidP="00A95429">
            <w:pPr>
              <w:contextualSpacing/>
              <w:jc w:val="both"/>
              <w:rPr>
                <w:rFonts w:ascii="Times New Roman" w:hAnsi="Times New Roman" w:cs="Times New Roman"/>
                <w:u w:val="single"/>
              </w:rPr>
            </w:pPr>
            <w:r w:rsidRPr="00634F12">
              <w:rPr>
                <w:rFonts w:ascii="Times New Roman" w:hAnsi="Times New Roman" w:cs="Times New Roman"/>
                <w:u w:val="single"/>
              </w:rPr>
              <w:t>Фактические обстоятельства:</w:t>
            </w:r>
          </w:p>
          <w:p w:rsidR="00A95429" w:rsidRPr="00166155" w:rsidRDefault="00166155" w:rsidP="00A95429">
            <w:pPr>
              <w:contextualSpacing/>
              <w:jc w:val="both"/>
              <w:rPr>
                <w:rFonts w:ascii="Times New Roman" w:hAnsi="Times New Roman" w:cs="Times New Roman"/>
              </w:rPr>
            </w:pPr>
            <w:r>
              <w:rPr>
                <w:rFonts w:ascii="Times New Roman" w:hAnsi="Times New Roman" w:cs="Times New Roman"/>
              </w:rPr>
              <w:t xml:space="preserve">Между потребителем и финансовой организацией был заключен договор на обслуживание банковской карты в рамках тарифного плана «Дебетовая карта Хозяина» (далее – Договор КБО). Пунктом 2.4.6.1 Тарифного плана предусмотрена возможность использования дополнительной опции по карте – </w:t>
            </w:r>
            <w:r>
              <w:rPr>
                <w:rFonts w:ascii="Times New Roman" w:hAnsi="Times New Roman" w:cs="Times New Roman"/>
                <w:lang w:val="en-US"/>
              </w:rPr>
              <w:t>CashBack</w:t>
            </w:r>
            <w:r>
              <w:rPr>
                <w:rFonts w:ascii="Times New Roman" w:hAnsi="Times New Roman" w:cs="Times New Roman"/>
              </w:rPr>
              <w:t xml:space="preserve">, который начисляется в размере 10% от суммы операции оплаты товаров и услуг в том числе в категории телекоммуникации. К карте потребителя была подключена опция «Супер </w:t>
            </w:r>
            <w:r>
              <w:rPr>
                <w:rFonts w:ascii="Times New Roman" w:hAnsi="Times New Roman" w:cs="Times New Roman"/>
                <w:lang w:val="en-US"/>
              </w:rPr>
              <w:t>CashBack</w:t>
            </w:r>
            <w:r>
              <w:rPr>
                <w:rFonts w:ascii="Times New Roman" w:hAnsi="Times New Roman" w:cs="Times New Roman"/>
              </w:rPr>
              <w:t>» с категорией ТСП «Телекоммуникации». Впоследствии потребителем с использованием карты за месяц были совершены расходные операции в общем размере 20 000 рублей, однако средства в рамках кешбэка вернулись в размере 200 рублей, что меньше 10 % от потраченной суммы, как это было предусмотрено условиями договора. При рассмотрении претензии потребителя финансовая организация указала, что операции по оплате сотовой связи были исключены из числа бонусируемых в категории «Телекоммуникации», а пересмотр бонусируемых операций не требовал внесения изменений в Тарифы</w:t>
            </w:r>
            <w:r w:rsidR="00D94312">
              <w:rPr>
                <w:rFonts w:ascii="Times New Roman" w:hAnsi="Times New Roman" w:cs="Times New Roman"/>
              </w:rPr>
              <w:t xml:space="preserve"> и иные клиентские документы, так как финансовая организация не раскрывала конкретный список МСС-кодов для начислений.</w:t>
            </w:r>
          </w:p>
          <w:p w:rsidR="00A95429" w:rsidRPr="00634F12" w:rsidRDefault="00A95429" w:rsidP="00A95429">
            <w:pPr>
              <w:contextualSpacing/>
              <w:jc w:val="both"/>
              <w:rPr>
                <w:rFonts w:ascii="Times New Roman" w:hAnsi="Times New Roman" w:cs="Times New Roman"/>
                <w:u w:val="single"/>
              </w:rPr>
            </w:pPr>
            <w:r w:rsidRPr="00634F12">
              <w:rPr>
                <w:rFonts w:ascii="Times New Roman" w:hAnsi="Times New Roman" w:cs="Times New Roman"/>
                <w:u w:val="single"/>
              </w:rPr>
              <w:t>Суть неприемлемой практики:</w:t>
            </w:r>
          </w:p>
          <w:p w:rsidR="00A95429" w:rsidRPr="00634F12" w:rsidRDefault="00D94312" w:rsidP="003A1749">
            <w:pPr>
              <w:contextualSpacing/>
              <w:jc w:val="both"/>
              <w:rPr>
                <w:rFonts w:ascii="Times New Roman" w:hAnsi="Times New Roman" w:cs="Times New Roman"/>
                <w:u w:val="single"/>
              </w:rPr>
            </w:pPr>
            <w:r>
              <w:rPr>
                <w:rFonts w:ascii="Times New Roman" w:hAnsi="Times New Roman" w:cs="Times New Roman"/>
              </w:rPr>
              <w:t xml:space="preserve">Кредитная организация в одностороннем порядке изменяет ранее установленные условия договора и неправомерно производит выплату вознаграждения в меньшем размере, ссылаясь на факт изменения перечня операций, а не изменения Тарифа как такового. При этом перечень конкретных операций с указанием кодов, на которые начисляется вознаграждение в той или иной категории расходов, в том числе категории «Телекоммуникации», потребителям для ознакомления не доступен и изменяется </w:t>
            </w:r>
            <w:r w:rsidR="003A1749">
              <w:rPr>
                <w:rFonts w:ascii="Times New Roman" w:hAnsi="Times New Roman" w:cs="Times New Roman"/>
              </w:rPr>
              <w:t xml:space="preserve">кредитной </w:t>
            </w:r>
            <w:r>
              <w:rPr>
                <w:rFonts w:ascii="Times New Roman" w:hAnsi="Times New Roman" w:cs="Times New Roman"/>
              </w:rPr>
              <w:t xml:space="preserve">организацией по своему усмотрению. </w:t>
            </w:r>
          </w:p>
        </w:tc>
        <w:tc>
          <w:tcPr>
            <w:tcW w:w="2551" w:type="dxa"/>
          </w:tcPr>
          <w:p w:rsidR="00A95429" w:rsidRDefault="00A95429" w:rsidP="008C0CAD">
            <w:pPr>
              <w:contextualSpacing/>
              <w:jc w:val="center"/>
              <w:rPr>
                <w:rFonts w:ascii="Times New Roman" w:hAnsi="Times New Roman" w:cs="Times New Roman"/>
                <w:sz w:val="24"/>
                <w:szCs w:val="24"/>
              </w:rPr>
            </w:pPr>
            <w:r w:rsidRPr="00A95429">
              <w:rPr>
                <w:rFonts w:ascii="Times New Roman" w:hAnsi="Times New Roman" w:cs="Times New Roman"/>
                <w:sz w:val="24"/>
                <w:szCs w:val="24"/>
              </w:rPr>
              <w:t>АО «Россельхозбанк»</w:t>
            </w:r>
          </w:p>
          <w:p w:rsidR="00831CB7" w:rsidRDefault="00831CB7" w:rsidP="008C0CAD">
            <w:pPr>
              <w:contextualSpacing/>
              <w:jc w:val="center"/>
              <w:rPr>
                <w:rFonts w:ascii="Times New Roman" w:hAnsi="Times New Roman" w:cs="Times New Roman"/>
                <w:sz w:val="24"/>
                <w:szCs w:val="24"/>
              </w:rPr>
            </w:pPr>
          </w:p>
        </w:tc>
      </w:tr>
      <w:tr w:rsidR="001E6F6B" w:rsidRPr="00CC0732" w:rsidTr="000E38F6">
        <w:trPr>
          <w:trHeight w:val="883"/>
          <w:jc w:val="center"/>
        </w:trPr>
        <w:tc>
          <w:tcPr>
            <w:tcW w:w="13178" w:type="dxa"/>
            <w:gridSpan w:val="4"/>
            <w:vAlign w:val="center"/>
          </w:tcPr>
          <w:p w:rsidR="001E6F6B" w:rsidRPr="00944667" w:rsidRDefault="001E6F6B" w:rsidP="001E6F6B">
            <w:pPr>
              <w:contextualSpacing/>
              <w:jc w:val="center"/>
              <w:rPr>
                <w:rFonts w:ascii="Times New Roman" w:hAnsi="Times New Roman" w:cs="Times New Roman"/>
                <w:sz w:val="24"/>
                <w:szCs w:val="24"/>
              </w:rPr>
            </w:pPr>
            <w:r>
              <w:rPr>
                <w:rFonts w:ascii="Times New Roman" w:hAnsi="Times New Roman" w:cs="Times New Roman"/>
                <w:sz w:val="24"/>
                <w:szCs w:val="24"/>
              </w:rPr>
              <w:t>Страховые организации</w:t>
            </w:r>
          </w:p>
        </w:tc>
      </w:tr>
      <w:tr w:rsidR="001E6F6B" w:rsidRPr="00CC0732" w:rsidTr="000E38F6">
        <w:trPr>
          <w:jc w:val="center"/>
        </w:trPr>
        <w:tc>
          <w:tcPr>
            <w:tcW w:w="819" w:type="dxa"/>
          </w:tcPr>
          <w:p w:rsidR="001E6F6B" w:rsidRPr="00E328A1" w:rsidRDefault="001E6F6B" w:rsidP="00227BF9">
            <w:pPr>
              <w:pStyle w:val="af2"/>
              <w:numPr>
                <w:ilvl w:val="0"/>
                <w:numId w:val="2"/>
              </w:numPr>
              <w:rPr>
                <w:rFonts w:ascii="Times New Roman" w:hAnsi="Times New Roman" w:cs="Times New Roman"/>
                <w:sz w:val="24"/>
                <w:szCs w:val="24"/>
              </w:rPr>
            </w:pPr>
          </w:p>
        </w:tc>
        <w:tc>
          <w:tcPr>
            <w:tcW w:w="2295" w:type="dxa"/>
          </w:tcPr>
          <w:p w:rsidR="001E6F6B" w:rsidRPr="00E3715A" w:rsidRDefault="00177426" w:rsidP="0069359F">
            <w:pPr>
              <w:contextualSpacing/>
              <w:jc w:val="center"/>
              <w:rPr>
                <w:rFonts w:ascii="Times New Roman" w:hAnsi="Times New Roman" w:cs="Times New Roman"/>
                <w:i/>
                <w:sz w:val="24"/>
                <w:szCs w:val="24"/>
              </w:rPr>
            </w:pPr>
            <w:r>
              <w:rPr>
                <w:rFonts w:ascii="Times New Roman" w:hAnsi="Times New Roman" w:cs="Times New Roman"/>
                <w:i/>
                <w:sz w:val="24"/>
                <w:szCs w:val="24"/>
              </w:rPr>
              <w:t>С</w:t>
            </w:r>
            <w:r w:rsidR="003001FF">
              <w:rPr>
                <w:rFonts w:ascii="Times New Roman" w:hAnsi="Times New Roman" w:cs="Times New Roman"/>
                <w:i/>
                <w:sz w:val="24"/>
                <w:szCs w:val="24"/>
              </w:rPr>
              <w:t>трахование</w:t>
            </w:r>
            <w:r>
              <w:rPr>
                <w:rFonts w:ascii="Times New Roman" w:hAnsi="Times New Roman" w:cs="Times New Roman"/>
                <w:i/>
                <w:sz w:val="24"/>
                <w:szCs w:val="24"/>
              </w:rPr>
              <w:t xml:space="preserve"> от несчастных случаев и болезней</w:t>
            </w:r>
          </w:p>
        </w:tc>
        <w:tc>
          <w:tcPr>
            <w:tcW w:w="7513" w:type="dxa"/>
          </w:tcPr>
          <w:p w:rsidR="00432207" w:rsidRPr="00432207" w:rsidRDefault="00432207" w:rsidP="001E6F6B">
            <w:pPr>
              <w:contextualSpacing/>
              <w:jc w:val="both"/>
              <w:rPr>
                <w:rFonts w:ascii="Times New Roman" w:hAnsi="Times New Roman" w:cs="Times New Roman"/>
                <w:b/>
              </w:rPr>
            </w:pPr>
            <w:r w:rsidRPr="00432207">
              <w:rPr>
                <w:rFonts w:ascii="Times New Roman" w:hAnsi="Times New Roman" w:cs="Times New Roman"/>
                <w:b/>
              </w:rPr>
              <w:t>Необоснованный отказ в страховой выплате в связи с</w:t>
            </w:r>
            <w:r w:rsidR="00AC2FE8">
              <w:rPr>
                <w:rFonts w:ascii="Times New Roman" w:hAnsi="Times New Roman" w:cs="Times New Roman"/>
                <w:b/>
              </w:rPr>
              <w:t xml:space="preserve">о смертью от </w:t>
            </w:r>
            <w:r w:rsidRPr="00432207">
              <w:rPr>
                <w:rFonts w:ascii="Times New Roman" w:hAnsi="Times New Roman" w:cs="Times New Roman"/>
                <w:b/>
              </w:rPr>
              <w:t xml:space="preserve"> </w:t>
            </w:r>
            <w:r w:rsidRPr="00432207">
              <w:rPr>
                <w:rFonts w:ascii="Times New Roman" w:hAnsi="Times New Roman" w:cs="Times New Roman"/>
                <w:b/>
                <w:lang w:val="en-US"/>
              </w:rPr>
              <w:t>COVID</w:t>
            </w:r>
            <w:r w:rsidRPr="00432207">
              <w:rPr>
                <w:rFonts w:ascii="Times New Roman" w:hAnsi="Times New Roman" w:cs="Times New Roman"/>
                <w:b/>
              </w:rPr>
              <w:t>-19</w:t>
            </w:r>
          </w:p>
          <w:p w:rsidR="001E6F6B" w:rsidRPr="004F2C5E" w:rsidRDefault="001E6F6B" w:rsidP="001E6F6B">
            <w:pPr>
              <w:contextualSpacing/>
              <w:jc w:val="both"/>
              <w:rPr>
                <w:rFonts w:ascii="Times New Roman" w:hAnsi="Times New Roman" w:cs="Times New Roman"/>
                <w:u w:val="single"/>
              </w:rPr>
            </w:pPr>
            <w:r w:rsidRPr="004F2C5E">
              <w:rPr>
                <w:rFonts w:ascii="Times New Roman" w:hAnsi="Times New Roman" w:cs="Times New Roman"/>
                <w:u w:val="single"/>
              </w:rPr>
              <w:t>Требование потребителя финансовых услуг:</w:t>
            </w:r>
          </w:p>
          <w:p w:rsidR="001E6F6B" w:rsidRDefault="001E6F6B" w:rsidP="001E6F6B">
            <w:pPr>
              <w:contextualSpacing/>
              <w:jc w:val="both"/>
              <w:rPr>
                <w:rFonts w:ascii="Times New Roman" w:hAnsi="Times New Roman" w:cs="Times New Roman"/>
              </w:rPr>
            </w:pPr>
            <w:r w:rsidRPr="004F2C5E">
              <w:rPr>
                <w:rFonts w:ascii="Times New Roman" w:hAnsi="Times New Roman" w:cs="Times New Roman"/>
              </w:rPr>
              <w:t xml:space="preserve">К финансовому уполномоченному </w:t>
            </w:r>
            <w:r w:rsidR="009F759E">
              <w:rPr>
                <w:rFonts w:ascii="Times New Roman" w:hAnsi="Times New Roman" w:cs="Times New Roman"/>
              </w:rPr>
              <w:t>поступило обращение в отношении страховой организации с требованием о взыскании страховой выплаты по договору комплексного страхования заемщиков.</w:t>
            </w:r>
          </w:p>
          <w:p w:rsidR="001E6F6B" w:rsidRPr="004F2C5E" w:rsidRDefault="001E6F6B" w:rsidP="001E6F6B">
            <w:pPr>
              <w:contextualSpacing/>
              <w:jc w:val="both"/>
              <w:rPr>
                <w:rFonts w:ascii="Times New Roman" w:hAnsi="Times New Roman" w:cs="Times New Roman"/>
                <w:u w:val="single"/>
              </w:rPr>
            </w:pPr>
            <w:r w:rsidRPr="004F2C5E">
              <w:rPr>
                <w:rFonts w:ascii="Times New Roman" w:hAnsi="Times New Roman" w:cs="Times New Roman"/>
                <w:u w:val="single"/>
              </w:rPr>
              <w:t>Фактические обстоятельства:</w:t>
            </w:r>
          </w:p>
          <w:p w:rsidR="001E6F6B" w:rsidRDefault="009F759E" w:rsidP="001E6F6B">
            <w:pPr>
              <w:contextualSpacing/>
              <w:jc w:val="both"/>
              <w:rPr>
                <w:rFonts w:ascii="Times New Roman" w:hAnsi="Times New Roman" w:cs="Times New Roman"/>
              </w:rPr>
            </w:pPr>
            <w:r>
              <w:rPr>
                <w:rFonts w:ascii="Times New Roman" w:hAnsi="Times New Roman" w:cs="Times New Roman"/>
              </w:rPr>
              <w:t>При заключении кредитного договора</w:t>
            </w:r>
            <w:r w:rsidR="00B74760">
              <w:rPr>
                <w:rFonts w:ascii="Times New Roman" w:hAnsi="Times New Roman" w:cs="Times New Roman"/>
              </w:rPr>
              <w:t xml:space="preserve"> застрахованный был включен в программу коллективного комплексного страхования в рамках Договора комплексного страхования заемщиков, заключенного между ООО «МСГ» и РНКБ Банк (ПАО). Страховым риском по указанной программе являлась в том числе смерть в результате болезни. Впоследствии застрахованный скончался, причиной смерти, согласно справке о смерти, стал </w:t>
            </w:r>
            <w:r w:rsidR="00B74760">
              <w:rPr>
                <w:rFonts w:ascii="Times New Roman" w:hAnsi="Times New Roman" w:cs="Times New Roman"/>
                <w:lang w:val="en-US"/>
              </w:rPr>
              <w:t>COVID</w:t>
            </w:r>
            <w:r w:rsidR="00B74760" w:rsidRPr="00B74760">
              <w:rPr>
                <w:rFonts w:ascii="Times New Roman" w:hAnsi="Times New Roman" w:cs="Times New Roman"/>
              </w:rPr>
              <w:t>-19</w:t>
            </w:r>
            <w:r w:rsidR="00A4134A">
              <w:rPr>
                <w:rFonts w:ascii="Times New Roman" w:hAnsi="Times New Roman" w:cs="Times New Roman"/>
              </w:rPr>
              <w:t>.</w:t>
            </w:r>
          </w:p>
          <w:p w:rsidR="00A4134A" w:rsidRDefault="00A4134A" w:rsidP="001E6F6B">
            <w:pPr>
              <w:contextualSpacing/>
              <w:jc w:val="both"/>
              <w:rPr>
                <w:rFonts w:ascii="Times New Roman" w:hAnsi="Times New Roman" w:cs="Times New Roman"/>
              </w:rPr>
            </w:pPr>
            <w:r>
              <w:rPr>
                <w:rFonts w:ascii="Times New Roman" w:hAnsi="Times New Roman" w:cs="Times New Roman"/>
              </w:rPr>
              <w:t xml:space="preserve">При этом </w:t>
            </w:r>
            <w:r w:rsidR="00836300">
              <w:rPr>
                <w:rFonts w:ascii="Times New Roman" w:hAnsi="Times New Roman" w:cs="Times New Roman"/>
              </w:rPr>
              <w:t xml:space="preserve">договор страхования не предусматривал </w:t>
            </w:r>
            <w:r>
              <w:rPr>
                <w:rFonts w:ascii="Times New Roman" w:hAnsi="Times New Roman" w:cs="Times New Roman"/>
              </w:rPr>
              <w:t>исключение из страхового покрытия случа</w:t>
            </w:r>
            <w:r w:rsidR="00836300">
              <w:rPr>
                <w:rFonts w:ascii="Times New Roman" w:hAnsi="Times New Roman" w:cs="Times New Roman"/>
              </w:rPr>
              <w:t>ев</w:t>
            </w:r>
            <w:r>
              <w:rPr>
                <w:rFonts w:ascii="Times New Roman" w:hAnsi="Times New Roman" w:cs="Times New Roman"/>
              </w:rPr>
              <w:t xml:space="preserve"> смерти в результате </w:t>
            </w:r>
            <w:r w:rsidR="00836300">
              <w:rPr>
                <w:rFonts w:ascii="Times New Roman" w:hAnsi="Times New Roman" w:cs="Times New Roman"/>
              </w:rPr>
              <w:t xml:space="preserve">неизвестного до заключения договора страхования заболевания (в том числе </w:t>
            </w:r>
            <w:r>
              <w:rPr>
                <w:rFonts w:ascii="Times New Roman" w:hAnsi="Times New Roman" w:cs="Times New Roman"/>
                <w:lang w:val="en-US"/>
              </w:rPr>
              <w:t>COVID</w:t>
            </w:r>
            <w:r w:rsidRPr="00B74760">
              <w:rPr>
                <w:rFonts w:ascii="Times New Roman" w:hAnsi="Times New Roman" w:cs="Times New Roman"/>
              </w:rPr>
              <w:t>-19</w:t>
            </w:r>
            <w:r w:rsidR="00836300">
              <w:rPr>
                <w:rFonts w:ascii="Times New Roman" w:hAnsi="Times New Roman" w:cs="Times New Roman"/>
              </w:rPr>
              <w:t>)</w:t>
            </w:r>
            <w:r>
              <w:rPr>
                <w:rFonts w:ascii="Times New Roman" w:hAnsi="Times New Roman" w:cs="Times New Roman"/>
              </w:rPr>
              <w:t>.</w:t>
            </w:r>
          </w:p>
          <w:p w:rsidR="00B74760" w:rsidRPr="00B74760" w:rsidRDefault="00B74760" w:rsidP="001E6F6B">
            <w:pPr>
              <w:contextualSpacing/>
              <w:jc w:val="both"/>
              <w:rPr>
                <w:rFonts w:ascii="Times New Roman" w:hAnsi="Times New Roman" w:cs="Times New Roman"/>
              </w:rPr>
            </w:pPr>
            <w:r>
              <w:rPr>
                <w:rFonts w:ascii="Times New Roman" w:hAnsi="Times New Roman" w:cs="Times New Roman"/>
              </w:rPr>
              <w:t>Финансовая организация отказала в выплате наследникам умершего застрахованного лица со ссылкой на статью 416 ГК РФ и Указ Главы Республики Крым № 63-У от 17.03.2020</w:t>
            </w:r>
            <w:r w:rsidR="00334E22">
              <w:rPr>
                <w:rFonts w:ascii="Times New Roman" w:hAnsi="Times New Roman" w:cs="Times New Roman"/>
              </w:rPr>
              <w:t>, в связи с тем, что короновирусная инфекция является чрезвычайным обстоятельством, за которое ни одна из сторон не отвечает, и поэтому обязательства по выплате страхового возмещения прекращаются.</w:t>
            </w:r>
          </w:p>
          <w:p w:rsidR="001E6F6B" w:rsidRPr="00130EB3" w:rsidRDefault="001E6F6B" w:rsidP="001E6F6B">
            <w:pPr>
              <w:contextualSpacing/>
              <w:jc w:val="both"/>
              <w:rPr>
                <w:rFonts w:ascii="Times New Roman" w:hAnsi="Times New Roman" w:cs="Times New Roman"/>
                <w:u w:val="single"/>
              </w:rPr>
            </w:pPr>
            <w:r w:rsidRPr="00130EB3">
              <w:rPr>
                <w:rFonts w:ascii="Times New Roman" w:hAnsi="Times New Roman" w:cs="Times New Roman"/>
                <w:u w:val="single"/>
              </w:rPr>
              <w:t>Суть неприемлемой практики:</w:t>
            </w:r>
          </w:p>
          <w:p w:rsidR="001E6F6B" w:rsidRPr="00BF136C" w:rsidRDefault="00AB647A" w:rsidP="00BF136C">
            <w:pPr>
              <w:contextualSpacing/>
              <w:jc w:val="both"/>
              <w:rPr>
                <w:rFonts w:ascii="Times New Roman" w:hAnsi="Times New Roman" w:cs="Times New Roman"/>
                <w:u w:val="single"/>
              </w:rPr>
            </w:pPr>
            <w:r w:rsidRPr="00AB647A">
              <w:rPr>
                <w:rFonts w:ascii="Times New Roman" w:hAnsi="Times New Roman" w:cs="Times New Roman"/>
              </w:rPr>
              <w:t>Указ</w:t>
            </w:r>
            <w:r>
              <w:rPr>
                <w:rFonts w:ascii="Times New Roman" w:hAnsi="Times New Roman" w:cs="Times New Roman"/>
              </w:rPr>
              <w:t>ом</w:t>
            </w:r>
            <w:r w:rsidRPr="00AB647A">
              <w:rPr>
                <w:rFonts w:ascii="Times New Roman" w:hAnsi="Times New Roman" w:cs="Times New Roman"/>
              </w:rPr>
              <w:t xml:space="preserve"> Главы Республики Крым № 63-У от 17.03.2020</w:t>
            </w:r>
            <w:r>
              <w:rPr>
                <w:rFonts w:ascii="Times New Roman" w:hAnsi="Times New Roman" w:cs="Times New Roman"/>
              </w:rPr>
              <w:t xml:space="preserve"> был введен режим функционирования «Повышенная готовность» для органов управления. Режим чрезвычайной ситуации на территории Республики не вводился. Из положений статьи 416 ГК РФ следует, что обязательство прекращается невозможностью исполнения, если она вызвана наступившим после возникновения обязательства обс</w:t>
            </w:r>
            <w:r w:rsidR="00FE5A08">
              <w:rPr>
                <w:rFonts w:ascii="Times New Roman" w:hAnsi="Times New Roman" w:cs="Times New Roman"/>
              </w:rPr>
              <w:t>тоятельством, за которое ни одна</w:t>
            </w:r>
            <w:r>
              <w:rPr>
                <w:rFonts w:ascii="Times New Roman" w:hAnsi="Times New Roman" w:cs="Times New Roman"/>
              </w:rPr>
              <w:t xml:space="preserve"> из сторон не отвечает. При этом из </w:t>
            </w:r>
            <w:r w:rsidRPr="00AB647A">
              <w:rPr>
                <w:rFonts w:ascii="Times New Roman" w:hAnsi="Times New Roman" w:cs="Times New Roman"/>
              </w:rPr>
              <w:t>ма</w:t>
            </w:r>
            <w:r>
              <w:rPr>
                <w:rFonts w:ascii="Times New Roman" w:hAnsi="Times New Roman" w:cs="Times New Roman"/>
              </w:rPr>
              <w:t>териалов Обращения не следовало</w:t>
            </w:r>
            <w:r w:rsidRPr="00AB647A">
              <w:rPr>
                <w:rFonts w:ascii="Times New Roman" w:hAnsi="Times New Roman" w:cs="Times New Roman"/>
              </w:rPr>
              <w:t>, что у Финансовой организации отсутствовала возможность осуществить страховую выплату по Договору страхования в связи наступлением обстоятельств непреодолимой силы.</w:t>
            </w:r>
            <w:r>
              <w:rPr>
                <w:rFonts w:ascii="Times New Roman" w:hAnsi="Times New Roman" w:cs="Times New Roman"/>
              </w:rPr>
              <w:t xml:space="preserve"> Таким </w:t>
            </w:r>
            <w:r w:rsidR="00BF136C">
              <w:rPr>
                <w:rFonts w:ascii="Times New Roman" w:hAnsi="Times New Roman" w:cs="Times New Roman"/>
              </w:rPr>
              <w:t xml:space="preserve">образом, страховая организация необоснованно отказывает в выплате страхового возмещения по страховым случаям в связи с </w:t>
            </w:r>
            <w:r w:rsidR="00BF136C">
              <w:rPr>
                <w:rFonts w:ascii="Times New Roman" w:hAnsi="Times New Roman" w:cs="Times New Roman"/>
                <w:lang w:val="en-US"/>
              </w:rPr>
              <w:t>COVID</w:t>
            </w:r>
            <w:r w:rsidR="00BF136C">
              <w:rPr>
                <w:rFonts w:ascii="Times New Roman" w:hAnsi="Times New Roman" w:cs="Times New Roman"/>
              </w:rPr>
              <w:t>-19.</w:t>
            </w:r>
          </w:p>
        </w:tc>
        <w:tc>
          <w:tcPr>
            <w:tcW w:w="2551" w:type="dxa"/>
          </w:tcPr>
          <w:p w:rsidR="001E6F6B" w:rsidRDefault="009F759E" w:rsidP="009F759E">
            <w:pPr>
              <w:contextualSpacing/>
              <w:jc w:val="center"/>
              <w:rPr>
                <w:rFonts w:ascii="Times New Roman" w:hAnsi="Times New Roman" w:cs="Times New Roman"/>
                <w:sz w:val="24"/>
                <w:szCs w:val="24"/>
              </w:rPr>
            </w:pPr>
            <w:r>
              <w:rPr>
                <w:rFonts w:ascii="Times New Roman" w:hAnsi="Times New Roman" w:cs="Times New Roman"/>
                <w:sz w:val="24"/>
                <w:szCs w:val="24"/>
              </w:rPr>
              <w:t>ООО «МСГ</w:t>
            </w:r>
            <w:r w:rsidR="001E6F6B" w:rsidRPr="00BC2A56">
              <w:rPr>
                <w:rFonts w:ascii="Times New Roman" w:hAnsi="Times New Roman" w:cs="Times New Roman"/>
                <w:sz w:val="24"/>
                <w:szCs w:val="24"/>
              </w:rPr>
              <w:t>»</w:t>
            </w:r>
          </w:p>
          <w:p w:rsidR="00D67F93" w:rsidRPr="000E136E" w:rsidRDefault="00D67F93" w:rsidP="009F759E">
            <w:pPr>
              <w:contextualSpacing/>
              <w:jc w:val="center"/>
              <w:rPr>
                <w:rFonts w:ascii="Times New Roman" w:hAnsi="Times New Roman" w:cs="Times New Roman"/>
                <w:sz w:val="24"/>
                <w:szCs w:val="24"/>
              </w:rPr>
            </w:pPr>
          </w:p>
        </w:tc>
      </w:tr>
      <w:tr w:rsidR="00C05DE1" w:rsidRPr="00CC0732" w:rsidTr="000E38F6">
        <w:trPr>
          <w:jc w:val="center"/>
        </w:trPr>
        <w:tc>
          <w:tcPr>
            <w:tcW w:w="819" w:type="dxa"/>
          </w:tcPr>
          <w:p w:rsidR="00C05DE1" w:rsidRPr="00C05DE1" w:rsidRDefault="00C05DE1" w:rsidP="00227BF9">
            <w:pPr>
              <w:pStyle w:val="af2"/>
              <w:numPr>
                <w:ilvl w:val="0"/>
                <w:numId w:val="2"/>
              </w:numPr>
              <w:rPr>
                <w:rFonts w:ascii="Times New Roman" w:hAnsi="Times New Roman" w:cs="Times New Roman"/>
                <w:sz w:val="24"/>
                <w:szCs w:val="24"/>
              </w:rPr>
            </w:pPr>
          </w:p>
        </w:tc>
        <w:tc>
          <w:tcPr>
            <w:tcW w:w="2295" w:type="dxa"/>
          </w:tcPr>
          <w:p w:rsidR="00C05DE1" w:rsidRPr="00C05DE1" w:rsidRDefault="00C05DE1" w:rsidP="0069359F">
            <w:pPr>
              <w:contextualSpacing/>
              <w:jc w:val="center"/>
              <w:rPr>
                <w:rFonts w:ascii="Times New Roman" w:hAnsi="Times New Roman" w:cs="Times New Roman"/>
                <w:i/>
                <w:sz w:val="24"/>
                <w:szCs w:val="24"/>
              </w:rPr>
            </w:pPr>
            <w:r w:rsidRPr="00C05DE1">
              <w:rPr>
                <w:rFonts w:ascii="Times New Roman" w:hAnsi="Times New Roman" w:cs="Times New Roman"/>
                <w:i/>
                <w:sz w:val="24"/>
                <w:szCs w:val="24"/>
              </w:rPr>
              <w:t>Добровольное страхование жизни</w:t>
            </w:r>
          </w:p>
        </w:tc>
        <w:tc>
          <w:tcPr>
            <w:tcW w:w="7513" w:type="dxa"/>
          </w:tcPr>
          <w:p w:rsidR="00C05DE1" w:rsidRPr="00C05DE1" w:rsidRDefault="00C05DE1" w:rsidP="00C05DE1">
            <w:pPr>
              <w:contextualSpacing/>
              <w:jc w:val="both"/>
              <w:rPr>
                <w:rFonts w:ascii="Times New Roman" w:hAnsi="Times New Roman" w:cs="Times New Roman"/>
                <w:u w:val="single"/>
              </w:rPr>
            </w:pPr>
            <w:r w:rsidRPr="00C05DE1">
              <w:rPr>
                <w:rFonts w:ascii="Times New Roman" w:hAnsi="Times New Roman" w:cs="Times New Roman"/>
                <w:b/>
              </w:rPr>
              <w:t>Отсутствие в договоре и правилах страхования порядка расчета дополнительного инвестиционного дохода.</w:t>
            </w:r>
          </w:p>
          <w:p w:rsidR="00C05DE1" w:rsidRPr="00C05DE1" w:rsidRDefault="00C05DE1" w:rsidP="00C05DE1">
            <w:pPr>
              <w:contextualSpacing/>
              <w:jc w:val="both"/>
              <w:rPr>
                <w:rFonts w:ascii="Times New Roman" w:hAnsi="Times New Roman" w:cs="Times New Roman"/>
                <w:u w:val="single"/>
              </w:rPr>
            </w:pPr>
            <w:r w:rsidRPr="00C05DE1">
              <w:rPr>
                <w:rFonts w:ascii="Times New Roman" w:hAnsi="Times New Roman" w:cs="Times New Roman"/>
                <w:u w:val="single"/>
              </w:rPr>
              <w:t>Требование потребителя финансовых услуг:</w:t>
            </w:r>
          </w:p>
          <w:p w:rsidR="00C05DE1" w:rsidRPr="00C05DE1" w:rsidRDefault="00C05DE1" w:rsidP="00C05DE1">
            <w:pPr>
              <w:contextualSpacing/>
              <w:jc w:val="both"/>
              <w:rPr>
                <w:rFonts w:ascii="Times New Roman" w:hAnsi="Times New Roman" w:cs="Times New Roman"/>
              </w:rPr>
            </w:pPr>
            <w:r w:rsidRPr="00C05DE1">
              <w:rPr>
                <w:rFonts w:ascii="Times New Roman" w:hAnsi="Times New Roman" w:cs="Times New Roman"/>
              </w:rPr>
              <w:t xml:space="preserve">К финансовому уполномоченному обратился потребитель финансовых услуг с требованием к страховой организации о взыскании доплаты </w:t>
            </w:r>
            <w:r w:rsidRPr="00C05DE1">
              <w:rPr>
                <w:rFonts w:ascii="Times New Roman" w:hAnsi="Times New Roman" w:cs="Times New Roman"/>
              </w:rPr>
              <w:lastRenderedPageBreak/>
              <w:t>инвестиционного дохода за 2021 год по договору страхования жизни, здоровья и трудоспособности.</w:t>
            </w:r>
          </w:p>
          <w:p w:rsidR="00C05DE1" w:rsidRPr="00C05DE1" w:rsidRDefault="00C05DE1" w:rsidP="00C05DE1">
            <w:pPr>
              <w:contextualSpacing/>
              <w:jc w:val="both"/>
              <w:rPr>
                <w:rFonts w:ascii="Times New Roman" w:hAnsi="Times New Roman" w:cs="Times New Roman"/>
                <w:u w:val="single"/>
              </w:rPr>
            </w:pPr>
            <w:r w:rsidRPr="00C05DE1">
              <w:rPr>
                <w:rFonts w:ascii="Times New Roman" w:hAnsi="Times New Roman" w:cs="Times New Roman"/>
                <w:u w:val="single"/>
              </w:rPr>
              <w:t>Фактические обстоятельства:</w:t>
            </w:r>
          </w:p>
          <w:p w:rsidR="00C05DE1" w:rsidRPr="00C05DE1" w:rsidRDefault="00C05DE1" w:rsidP="00C05DE1">
            <w:pPr>
              <w:contextualSpacing/>
              <w:jc w:val="both"/>
              <w:rPr>
                <w:rFonts w:ascii="Times New Roman" w:hAnsi="Times New Roman" w:cs="Times New Roman"/>
              </w:rPr>
            </w:pPr>
            <w:r w:rsidRPr="00C05DE1">
              <w:rPr>
                <w:rFonts w:ascii="Times New Roman" w:hAnsi="Times New Roman" w:cs="Times New Roman"/>
              </w:rPr>
              <w:t xml:space="preserve">Между потребителем и страховой компанией в 2011 году был заключен договор страхования жизни, здоровья и трудоспособности сроком на 10 лет. Согласно условиям Программы страхования при дожитии </w:t>
            </w:r>
            <w:r w:rsidRPr="00C05DE1">
              <w:rPr>
                <w:rFonts w:ascii="Times New Roman" w:hAnsi="Times New Roman" w:cs="Times New Roman"/>
              </w:rPr>
              <w:br/>
              <w:t xml:space="preserve">Застрахованного лица до срока, установленного Договором страхования, </w:t>
            </w:r>
            <w:r w:rsidRPr="00C05DE1">
              <w:rPr>
                <w:rFonts w:ascii="Times New Roman" w:hAnsi="Times New Roman" w:cs="Times New Roman"/>
              </w:rPr>
              <w:br/>
              <w:t>единовременно выплачивается 100 % страховой суммы, установленной в Договоре страхования. Также в соответствии с условиями Договора страхования потребитель имел право на выплату дополнительного инвестиционного дохода, в начислении которого за 2021 год страховой компанией было отказано, в связи с тем, что срок договора истек до 31.12.2021 года. По результатам рассмотрения обращения потребителя финансовым уполномоченным было установлено, что Договором страхования не предусмотрена возможность не выплачивать дополнительный инвестиционный доход за 2021 год, в том числе несмотря на то, что Договор страхования действовал до 28.10.2021 (то есть срок его действия истек ранее 31.12.2021). В то же время в Договоре страхования, Программе и Правилах страхования отсутствуют положения, устанавливающие порядок расчета дополнительного инвестиционного дохода, в связи с чем у финансового уполномоченного отсутствовала возможность определить величину причитающегося потребителю дополнительного инвестиционного дохода.</w:t>
            </w:r>
          </w:p>
          <w:p w:rsidR="00C05DE1" w:rsidRPr="00C05DE1" w:rsidRDefault="00C05DE1" w:rsidP="00C05DE1">
            <w:pPr>
              <w:contextualSpacing/>
              <w:jc w:val="both"/>
              <w:rPr>
                <w:rFonts w:ascii="Times New Roman" w:hAnsi="Times New Roman" w:cs="Times New Roman"/>
                <w:u w:val="single"/>
              </w:rPr>
            </w:pPr>
            <w:r w:rsidRPr="00C05DE1">
              <w:rPr>
                <w:rFonts w:ascii="Times New Roman" w:hAnsi="Times New Roman" w:cs="Times New Roman"/>
                <w:u w:val="single"/>
              </w:rPr>
              <w:t>Суть неприемлемой практики:</w:t>
            </w:r>
          </w:p>
          <w:p w:rsidR="00C05DE1" w:rsidRPr="00C05DE1" w:rsidRDefault="00C05DE1" w:rsidP="001806AB">
            <w:pPr>
              <w:contextualSpacing/>
              <w:jc w:val="both"/>
              <w:rPr>
                <w:rFonts w:ascii="Times New Roman" w:hAnsi="Times New Roman" w:cs="Times New Roman"/>
                <w:u w:val="single"/>
              </w:rPr>
            </w:pPr>
            <w:r w:rsidRPr="00C05DE1">
              <w:rPr>
                <w:rFonts w:ascii="Times New Roman" w:hAnsi="Times New Roman" w:cs="Times New Roman"/>
              </w:rPr>
              <w:t>При установлен</w:t>
            </w:r>
            <w:r w:rsidR="00985C70">
              <w:rPr>
                <w:rFonts w:ascii="Times New Roman" w:hAnsi="Times New Roman" w:cs="Times New Roman"/>
              </w:rPr>
              <w:t>ном в договоре страхования праве</w:t>
            </w:r>
            <w:r w:rsidRPr="00C05DE1">
              <w:rPr>
                <w:rFonts w:ascii="Times New Roman" w:hAnsi="Times New Roman" w:cs="Times New Roman"/>
              </w:rPr>
              <w:t xml:space="preserve"> потребителя на получение дополнительного инвестиционного дохода, отсутствие в документах, согласованных с потребителем или предоставленных потребителю для ознакомления, порядка расчета или определения размера соответствующей выплаты, нарушает его законные интересы. Расчет дополнительного инвестиционного дохода по договорам добровольного страхования жизни и здоровья исключительно на основании внутренних документов страховщика, создает почву для злоупотребления со стороны страховых организаций и препятствует возможности полноценной защиты прав потребителей финансовых услуг.</w:t>
            </w:r>
          </w:p>
        </w:tc>
        <w:tc>
          <w:tcPr>
            <w:tcW w:w="2551" w:type="dxa"/>
          </w:tcPr>
          <w:p w:rsidR="00C05DE1" w:rsidRDefault="00C05DE1" w:rsidP="00C05DE1">
            <w:pPr>
              <w:contextualSpacing/>
              <w:jc w:val="center"/>
              <w:rPr>
                <w:rFonts w:ascii="Times New Roman" w:hAnsi="Times New Roman" w:cs="Times New Roman"/>
                <w:sz w:val="24"/>
                <w:szCs w:val="24"/>
              </w:rPr>
            </w:pPr>
            <w:r w:rsidRPr="00490F91">
              <w:rPr>
                <w:rFonts w:ascii="Times New Roman" w:hAnsi="Times New Roman" w:cs="Times New Roman"/>
                <w:sz w:val="24"/>
                <w:szCs w:val="24"/>
              </w:rPr>
              <w:lastRenderedPageBreak/>
              <w:t>ООО «</w:t>
            </w:r>
            <w:r>
              <w:rPr>
                <w:rFonts w:ascii="Times New Roman" w:hAnsi="Times New Roman" w:cs="Times New Roman"/>
                <w:sz w:val="24"/>
                <w:szCs w:val="24"/>
              </w:rPr>
              <w:t>Капитал Лайф Страхование Жизни</w:t>
            </w:r>
            <w:r w:rsidRPr="00490F91">
              <w:rPr>
                <w:rFonts w:ascii="Times New Roman" w:hAnsi="Times New Roman" w:cs="Times New Roman"/>
                <w:sz w:val="24"/>
                <w:szCs w:val="24"/>
              </w:rPr>
              <w:t>»</w:t>
            </w:r>
          </w:p>
          <w:p w:rsidR="00C05DE1" w:rsidRPr="00490F91" w:rsidRDefault="00C05DE1" w:rsidP="00C05DE1">
            <w:pPr>
              <w:contextualSpacing/>
              <w:jc w:val="center"/>
              <w:rPr>
                <w:rFonts w:ascii="Times New Roman" w:hAnsi="Times New Roman" w:cs="Times New Roman"/>
                <w:sz w:val="24"/>
                <w:szCs w:val="24"/>
              </w:rPr>
            </w:pPr>
          </w:p>
        </w:tc>
      </w:tr>
      <w:tr w:rsidR="00AB7132" w:rsidRPr="00CC0732" w:rsidTr="000E38F6">
        <w:trPr>
          <w:jc w:val="center"/>
        </w:trPr>
        <w:tc>
          <w:tcPr>
            <w:tcW w:w="819" w:type="dxa"/>
          </w:tcPr>
          <w:p w:rsidR="00AB7132" w:rsidRPr="00DF5000" w:rsidRDefault="00AB7132" w:rsidP="00227BF9">
            <w:pPr>
              <w:pStyle w:val="af2"/>
              <w:numPr>
                <w:ilvl w:val="0"/>
                <w:numId w:val="2"/>
              </w:numPr>
              <w:rPr>
                <w:rFonts w:ascii="Times New Roman" w:hAnsi="Times New Roman" w:cs="Times New Roman"/>
                <w:sz w:val="24"/>
                <w:szCs w:val="24"/>
              </w:rPr>
            </w:pPr>
          </w:p>
        </w:tc>
        <w:tc>
          <w:tcPr>
            <w:tcW w:w="2295" w:type="dxa"/>
          </w:tcPr>
          <w:p w:rsidR="00AB7132" w:rsidRPr="00DF5000" w:rsidRDefault="00CD7188" w:rsidP="0069359F">
            <w:pPr>
              <w:contextualSpacing/>
              <w:jc w:val="center"/>
              <w:rPr>
                <w:rFonts w:ascii="Times New Roman" w:hAnsi="Times New Roman" w:cs="Times New Roman"/>
                <w:i/>
                <w:sz w:val="24"/>
                <w:szCs w:val="24"/>
              </w:rPr>
            </w:pPr>
            <w:r w:rsidRPr="00DF5000">
              <w:rPr>
                <w:rFonts w:ascii="Times New Roman" w:hAnsi="Times New Roman" w:cs="Times New Roman"/>
                <w:i/>
                <w:sz w:val="24"/>
                <w:szCs w:val="24"/>
              </w:rPr>
              <w:t>Страхование от несчастных случаев и болезни</w:t>
            </w:r>
          </w:p>
        </w:tc>
        <w:tc>
          <w:tcPr>
            <w:tcW w:w="7513" w:type="dxa"/>
          </w:tcPr>
          <w:p w:rsidR="002F75E4" w:rsidRPr="00DF5000" w:rsidRDefault="00DF5000" w:rsidP="00AB7132">
            <w:pPr>
              <w:contextualSpacing/>
              <w:jc w:val="both"/>
              <w:rPr>
                <w:rFonts w:ascii="Times New Roman" w:hAnsi="Times New Roman" w:cs="Times New Roman"/>
                <w:b/>
              </w:rPr>
            </w:pPr>
            <w:r>
              <w:rPr>
                <w:rFonts w:ascii="Times New Roman" w:hAnsi="Times New Roman" w:cs="Times New Roman"/>
                <w:b/>
              </w:rPr>
              <w:t>Формулировки у</w:t>
            </w:r>
            <w:r w:rsidR="002F75E4" w:rsidRPr="00DF5000">
              <w:rPr>
                <w:rFonts w:ascii="Times New Roman" w:hAnsi="Times New Roman" w:cs="Times New Roman"/>
                <w:b/>
              </w:rPr>
              <w:t xml:space="preserve">словий </w:t>
            </w:r>
            <w:r>
              <w:rPr>
                <w:rFonts w:ascii="Times New Roman" w:hAnsi="Times New Roman" w:cs="Times New Roman"/>
                <w:b/>
              </w:rPr>
              <w:t>страхования, вводящие потребителя в заблуждение относительно условий получения страховой выплаты</w:t>
            </w:r>
          </w:p>
          <w:p w:rsidR="00AB7132" w:rsidRPr="00DF5000" w:rsidRDefault="00AB7132" w:rsidP="00AB7132">
            <w:pPr>
              <w:contextualSpacing/>
              <w:jc w:val="both"/>
              <w:rPr>
                <w:rFonts w:ascii="Times New Roman" w:hAnsi="Times New Roman" w:cs="Times New Roman"/>
                <w:u w:val="single"/>
              </w:rPr>
            </w:pPr>
            <w:r w:rsidRPr="00DF5000">
              <w:rPr>
                <w:rFonts w:ascii="Times New Roman" w:hAnsi="Times New Roman" w:cs="Times New Roman"/>
                <w:u w:val="single"/>
              </w:rPr>
              <w:t>Требование потребителя финансовых услуг:</w:t>
            </w:r>
          </w:p>
          <w:p w:rsidR="00AB7132" w:rsidRPr="00DF5000" w:rsidRDefault="00AB7132" w:rsidP="00AB7132">
            <w:pPr>
              <w:contextualSpacing/>
              <w:jc w:val="both"/>
              <w:rPr>
                <w:rFonts w:ascii="Times New Roman" w:hAnsi="Times New Roman" w:cs="Times New Roman"/>
              </w:rPr>
            </w:pPr>
            <w:r w:rsidRPr="00DF5000">
              <w:rPr>
                <w:rFonts w:ascii="Times New Roman" w:hAnsi="Times New Roman" w:cs="Times New Roman"/>
              </w:rPr>
              <w:t xml:space="preserve">К финансовому уполномоченному обратился потребитель финансовых услуг с требованием к страховой организации о взыскании </w:t>
            </w:r>
            <w:r w:rsidR="00DF6BDD" w:rsidRPr="00DF5000">
              <w:rPr>
                <w:rFonts w:ascii="Times New Roman" w:hAnsi="Times New Roman" w:cs="Times New Roman"/>
              </w:rPr>
              <w:t>страховой выплаты.</w:t>
            </w:r>
          </w:p>
          <w:p w:rsidR="00AB7132" w:rsidRPr="00DF5000" w:rsidRDefault="00AB7132" w:rsidP="00AB7132">
            <w:pPr>
              <w:contextualSpacing/>
              <w:jc w:val="both"/>
              <w:rPr>
                <w:rFonts w:ascii="Times New Roman" w:hAnsi="Times New Roman" w:cs="Times New Roman"/>
                <w:u w:val="single"/>
              </w:rPr>
            </w:pPr>
            <w:r w:rsidRPr="00DF5000">
              <w:rPr>
                <w:rFonts w:ascii="Times New Roman" w:hAnsi="Times New Roman" w:cs="Times New Roman"/>
                <w:u w:val="single"/>
              </w:rPr>
              <w:t>Фактические обстоятельства:</w:t>
            </w:r>
          </w:p>
          <w:p w:rsidR="00BD4491" w:rsidRPr="00DF5000" w:rsidRDefault="00AB7132" w:rsidP="00AB7132">
            <w:pPr>
              <w:contextualSpacing/>
              <w:jc w:val="both"/>
              <w:rPr>
                <w:rFonts w:ascii="Times New Roman" w:hAnsi="Times New Roman" w:cs="Times New Roman"/>
              </w:rPr>
            </w:pPr>
            <w:r w:rsidRPr="00DF5000">
              <w:rPr>
                <w:rFonts w:ascii="Times New Roman" w:hAnsi="Times New Roman" w:cs="Times New Roman"/>
              </w:rPr>
              <w:lastRenderedPageBreak/>
              <w:t>Между пот</w:t>
            </w:r>
            <w:r w:rsidR="00BD4491" w:rsidRPr="00DF5000">
              <w:rPr>
                <w:rFonts w:ascii="Times New Roman" w:hAnsi="Times New Roman" w:cs="Times New Roman"/>
              </w:rPr>
              <w:t>ребителем и страховой компанией</w:t>
            </w:r>
            <w:r w:rsidRPr="00DF5000">
              <w:rPr>
                <w:rFonts w:ascii="Times New Roman" w:hAnsi="Times New Roman" w:cs="Times New Roman"/>
              </w:rPr>
              <w:t xml:space="preserve"> был заключен договор </w:t>
            </w:r>
            <w:r w:rsidR="00BD4491" w:rsidRPr="00DF5000">
              <w:rPr>
                <w:rFonts w:ascii="Times New Roman" w:hAnsi="Times New Roman" w:cs="Times New Roman"/>
              </w:rPr>
              <w:t xml:space="preserve">добровольного страхования жизни и </w:t>
            </w:r>
            <w:r w:rsidRPr="00DF5000">
              <w:rPr>
                <w:rFonts w:ascii="Times New Roman" w:hAnsi="Times New Roman" w:cs="Times New Roman"/>
              </w:rPr>
              <w:t xml:space="preserve">здоровья </w:t>
            </w:r>
            <w:r w:rsidR="00BD4491" w:rsidRPr="00DF5000">
              <w:rPr>
                <w:rFonts w:ascii="Times New Roman" w:hAnsi="Times New Roman" w:cs="Times New Roman"/>
              </w:rPr>
              <w:t xml:space="preserve">«Финансовый резерв» </w:t>
            </w:r>
            <w:r w:rsidR="0085644C" w:rsidRPr="00DF5000">
              <w:rPr>
                <w:rFonts w:ascii="Times New Roman" w:hAnsi="Times New Roman" w:cs="Times New Roman"/>
              </w:rPr>
              <w:t>по программе «Лайф +». Договор страхования был заключен в соответствии с правилами общего добровольного страхования о</w:t>
            </w:r>
            <w:r w:rsidR="00BB2222" w:rsidRPr="00DF5000">
              <w:rPr>
                <w:rFonts w:ascii="Times New Roman" w:hAnsi="Times New Roman" w:cs="Times New Roman"/>
              </w:rPr>
              <w:t>т несчастных случаев и болезней, а также условиями страхования по страховому продукту «Финансовый резерв» и предусматривал, в том числе страховой риск «Травма».</w:t>
            </w:r>
            <w:r w:rsidR="002E53A4" w:rsidRPr="00DF5000">
              <w:rPr>
                <w:rFonts w:ascii="Times New Roman" w:hAnsi="Times New Roman" w:cs="Times New Roman"/>
              </w:rPr>
              <w:t xml:space="preserve"> Впоследствии заявителю был установлен диагноз «Перелом </w:t>
            </w:r>
            <w:r w:rsidR="002E53A4" w:rsidRPr="00DF5000">
              <w:rPr>
                <w:rFonts w:ascii="Times New Roman" w:hAnsi="Times New Roman" w:cs="Times New Roman"/>
                <w:u w:val="single"/>
              </w:rPr>
              <w:t>головки</w:t>
            </w:r>
            <w:r w:rsidR="002E53A4" w:rsidRPr="00DF5000">
              <w:rPr>
                <w:rFonts w:ascii="Times New Roman" w:hAnsi="Times New Roman" w:cs="Times New Roman"/>
              </w:rPr>
              <w:t xml:space="preserve"> малоберцовой кости» (код по международной классификации болезней (МКБ-10) – </w:t>
            </w:r>
            <w:r w:rsidR="002E53A4" w:rsidRPr="00DF5000">
              <w:rPr>
                <w:rFonts w:ascii="Times New Roman" w:hAnsi="Times New Roman" w:cs="Times New Roman"/>
                <w:lang w:val="en-US"/>
              </w:rPr>
              <w:t>S</w:t>
            </w:r>
            <w:r w:rsidR="002E53A4" w:rsidRPr="00DF5000">
              <w:rPr>
                <w:rFonts w:ascii="Times New Roman" w:hAnsi="Times New Roman" w:cs="Times New Roman"/>
              </w:rPr>
              <w:t>82.4</w:t>
            </w:r>
            <w:r w:rsidR="000E38F6" w:rsidRPr="00DF5000">
              <w:rPr>
                <w:rFonts w:ascii="Times New Roman" w:hAnsi="Times New Roman" w:cs="Times New Roman"/>
              </w:rPr>
              <w:t>)</w:t>
            </w:r>
            <w:r w:rsidR="00481120" w:rsidRPr="00DF5000">
              <w:rPr>
                <w:rFonts w:ascii="Times New Roman" w:hAnsi="Times New Roman" w:cs="Times New Roman"/>
              </w:rPr>
              <w:t xml:space="preserve">. Заявитель обратился в страховую организацию с заявлением о наступлении события, имеющего признаки страхового случая по риску «Травма». Однако в выплате ему было отказано, в связи с тем, что в соответствии с пунктом 10.1.5 Условий страхования при наступлении страхового случая по риску «Травма» страховая выплата производится в соответствии с Таблицей выплат в процентах от страховой суммы. А таблицей выплат по программе «Лайф+» </w:t>
            </w:r>
            <w:r w:rsidR="00A06E89" w:rsidRPr="00DF5000">
              <w:rPr>
                <w:rFonts w:ascii="Times New Roman" w:hAnsi="Times New Roman" w:cs="Times New Roman"/>
              </w:rPr>
              <w:t xml:space="preserve">предусмотрена выплата по пункту </w:t>
            </w:r>
            <w:r w:rsidR="00A06E89" w:rsidRPr="00DF5000">
              <w:rPr>
                <w:rFonts w:ascii="Times New Roman" w:hAnsi="Times New Roman" w:cs="Times New Roman"/>
                <w:lang w:val="en-US"/>
              </w:rPr>
              <w:t>S</w:t>
            </w:r>
            <w:r w:rsidR="00A06E89" w:rsidRPr="00DF5000">
              <w:rPr>
                <w:rFonts w:ascii="Times New Roman" w:hAnsi="Times New Roman" w:cs="Times New Roman"/>
              </w:rPr>
              <w:t xml:space="preserve">82.4 «Перелом </w:t>
            </w:r>
            <w:r w:rsidR="00A06E89" w:rsidRPr="00DF5000">
              <w:rPr>
                <w:rFonts w:ascii="Times New Roman" w:hAnsi="Times New Roman" w:cs="Times New Roman"/>
                <w:u w:val="single"/>
              </w:rPr>
              <w:t>только тела</w:t>
            </w:r>
            <w:r w:rsidR="00A06E89" w:rsidRPr="00DF5000">
              <w:rPr>
                <w:rFonts w:ascii="Times New Roman" w:hAnsi="Times New Roman" w:cs="Times New Roman"/>
              </w:rPr>
              <w:t xml:space="preserve"> (диафиза) малоберцовой кости»</w:t>
            </w:r>
            <w:r w:rsidR="00F62340" w:rsidRPr="00DF5000">
              <w:rPr>
                <w:rFonts w:ascii="Times New Roman" w:hAnsi="Times New Roman" w:cs="Times New Roman"/>
              </w:rPr>
              <w:t>.</w:t>
            </w:r>
          </w:p>
          <w:p w:rsidR="00AB7132" w:rsidRPr="00DF5000" w:rsidRDefault="00AB7132" w:rsidP="00AB7132">
            <w:pPr>
              <w:contextualSpacing/>
              <w:jc w:val="both"/>
              <w:rPr>
                <w:rFonts w:ascii="Times New Roman" w:hAnsi="Times New Roman" w:cs="Times New Roman"/>
                <w:u w:val="single"/>
              </w:rPr>
            </w:pPr>
            <w:r w:rsidRPr="00DF5000">
              <w:rPr>
                <w:rFonts w:ascii="Times New Roman" w:hAnsi="Times New Roman" w:cs="Times New Roman"/>
                <w:u w:val="single"/>
              </w:rPr>
              <w:t>Суть неприемлемой практики:</w:t>
            </w:r>
          </w:p>
          <w:p w:rsidR="00AB7132" w:rsidRPr="00DF5000" w:rsidRDefault="00F62340" w:rsidP="00DF5000">
            <w:pPr>
              <w:contextualSpacing/>
              <w:jc w:val="both"/>
              <w:rPr>
                <w:rFonts w:ascii="Times New Roman" w:hAnsi="Times New Roman" w:cs="Times New Roman"/>
                <w:u w:val="single"/>
              </w:rPr>
            </w:pPr>
            <w:r w:rsidRPr="00DF5000">
              <w:rPr>
                <w:rFonts w:ascii="Times New Roman" w:hAnsi="Times New Roman" w:cs="Times New Roman"/>
              </w:rPr>
              <w:t xml:space="preserve">Условиями страхования (таблицей выплат) предусмотрен номер травмы по МКБ-10. Так, например, в рассматриваемом случае по МКБ-10 под заболеванием с кодом </w:t>
            </w:r>
            <w:r w:rsidRPr="00DF5000">
              <w:rPr>
                <w:rFonts w:ascii="Times New Roman" w:hAnsi="Times New Roman" w:cs="Times New Roman"/>
                <w:lang w:val="en-US"/>
              </w:rPr>
              <w:t>S</w:t>
            </w:r>
            <w:r w:rsidRPr="00DF5000">
              <w:rPr>
                <w:rFonts w:ascii="Times New Roman" w:hAnsi="Times New Roman" w:cs="Times New Roman"/>
              </w:rPr>
              <w:t>82.4 значится «Перелом малоберцовой кости, в том числе головки (за исключением лодыжки»</w:t>
            </w:r>
            <w:r w:rsidR="000E38F6" w:rsidRPr="00DF5000">
              <w:rPr>
                <w:rFonts w:ascii="Times New Roman" w:hAnsi="Times New Roman" w:cs="Times New Roman"/>
              </w:rPr>
              <w:t>)</w:t>
            </w:r>
            <w:r w:rsidRPr="00DF5000">
              <w:rPr>
                <w:rFonts w:ascii="Times New Roman" w:hAnsi="Times New Roman" w:cs="Times New Roman"/>
              </w:rPr>
              <w:t>. Таким, образом, указанный код включает в себя и перелом головки малоберцовой кости, в то время, как в Таблице выплат Условий страхования под указанным номером содержится травма, содержащая исключения, то есть де-факто не соответствующая указанному коду классификации МКБ-10,</w:t>
            </w:r>
            <w:r w:rsidR="00760E27" w:rsidRPr="00DF5000">
              <w:rPr>
                <w:rFonts w:ascii="Times New Roman" w:hAnsi="Times New Roman" w:cs="Times New Roman"/>
              </w:rPr>
              <w:t xml:space="preserve"> что вводит потребителя страховых услуг в заблуждение относительно </w:t>
            </w:r>
            <w:r w:rsidR="00DF5000">
              <w:rPr>
                <w:rFonts w:ascii="Times New Roman" w:hAnsi="Times New Roman" w:cs="Times New Roman"/>
              </w:rPr>
              <w:t xml:space="preserve">условий </w:t>
            </w:r>
            <w:r w:rsidR="00760E27" w:rsidRPr="00DF5000">
              <w:rPr>
                <w:rFonts w:ascii="Times New Roman" w:hAnsi="Times New Roman" w:cs="Times New Roman"/>
              </w:rPr>
              <w:t>получения страховой выплаты.</w:t>
            </w:r>
          </w:p>
        </w:tc>
        <w:tc>
          <w:tcPr>
            <w:tcW w:w="2551" w:type="dxa"/>
          </w:tcPr>
          <w:p w:rsidR="00AB7132" w:rsidRPr="00DF5000" w:rsidRDefault="00760E27" w:rsidP="00467F54">
            <w:pPr>
              <w:contextualSpacing/>
              <w:jc w:val="center"/>
              <w:rPr>
                <w:rFonts w:ascii="Times New Roman" w:hAnsi="Times New Roman" w:cs="Times New Roman"/>
                <w:sz w:val="24"/>
                <w:szCs w:val="24"/>
              </w:rPr>
            </w:pPr>
            <w:r w:rsidRPr="00DF5000">
              <w:rPr>
                <w:rFonts w:ascii="Times New Roman" w:hAnsi="Times New Roman" w:cs="Times New Roman"/>
                <w:sz w:val="24"/>
                <w:szCs w:val="24"/>
              </w:rPr>
              <w:lastRenderedPageBreak/>
              <w:t>АО «СОГАЗ»</w:t>
            </w:r>
          </w:p>
          <w:p w:rsidR="001B5A97" w:rsidRPr="00DF5000" w:rsidRDefault="001B5A97" w:rsidP="001B5A97">
            <w:pPr>
              <w:contextualSpacing/>
              <w:jc w:val="center"/>
              <w:rPr>
                <w:rFonts w:ascii="Times New Roman" w:hAnsi="Times New Roman" w:cs="Times New Roman"/>
                <w:sz w:val="24"/>
                <w:szCs w:val="24"/>
              </w:rPr>
            </w:pPr>
          </w:p>
        </w:tc>
      </w:tr>
      <w:tr w:rsidR="009278B5" w:rsidRPr="00CC0732" w:rsidTr="000E38F6">
        <w:trPr>
          <w:jc w:val="center"/>
        </w:trPr>
        <w:tc>
          <w:tcPr>
            <w:tcW w:w="819" w:type="dxa"/>
          </w:tcPr>
          <w:p w:rsidR="009278B5" w:rsidRPr="00DF5000" w:rsidRDefault="009278B5" w:rsidP="00227BF9">
            <w:pPr>
              <w:pStyle w:val="af2"/>
              <w:numPr>
                <w:ilvl w:val="0"/>
                <w:numId w:val="2"/>
              </w:numPr>
              <w:rPr>
                <w:rFonts w:ascii="Times New Roman" w:hAnsi="Times New Roman" w:cs="Times New Roman"/>
                <w:sz w:val="24"/>
                <w:szCs w:val="24"/>
              </w:rPr>
            </w:pPr>
          </w:p>
        </w:tc>
        <w:tc>
          <w:tcPr>
            <w:tcW w:w="2295" w:type="dxa"/>
          </w:tcPr>
          <w:p w:rsidR="009278B5" w:rsidRPr="00DF5000" w:rsidRDefault="00755CFD" w:rsidP="0069359F">
            <w:pPr>
              <w:contextualSpacing/>
              <w:jc w:val="center"/>
              <w:rPr>
                <w:rFonts w:ascii="Times New Roman" w:hAnsi="Times New Roman" w:cs="Times New Roman"/>
                <w:i/>
                <w:sz w:val="24"/>
                <w:szCs w:val="24"/>
              </w:rPr>
            </w:pPr>
            <w:r w:rsidRPr="006A041B">
              <w:rPr>
                <w:rFonts w:ascii="Times New Roman" w:hAnsi="Times New Roman" w:cs="Times New Roman"/>
                <w:i/>
                <w:sz w:val="24"/>
                <w:szCs w:val="24"/>
              </w:rPr>
              <w:t>Добровольное страхование жизни</w:t>
            </w:r>
          </w:p>
        </w:tc>
        <w:tc>
          <w:tcPr>
            <w:tcW w:w="7513" w:type="dxa"/>
          </w:tcPr>
          <w:p w:rsidR="001C5985" w:rsidRPr="00DF5000" w:rsidRDefault="001C5985" w:rsidP="005053F1">
            <w:pPr>
              <w:contextualSpacing/>
              <w:jc w:val="both"/>
              <w:rPr>
                <w:rFonts w:ascii="Times New Roman" w:hAnsi="Times New Roman" w:cs="Times New Roman"/>
                <w:b/>
              </w:rPr>
            </w:pPr>
            <w:r w:rsidRPr="00DF5000">
              <w:rPr>
                <w:rFonts w:ascii="Times New Roman" w:hAnsi="Times New Roman" w:cs="Times New Roman"/>
                <w:b/>
              </w:rPr>
              <w:t xml:space="preserve">Установление </w:t>
            </w:r>
            <w:r w:rsidR="00AD4380">
              <w:rPr>
                <w:rFonts w:ascii="Times New Roman" w:hAnsi="Times New Roman" w:cs="Times New Roman"/>
                <w:b/>
              </w:rPr>
              <w:t>условий страхования</w:t>
            </w:r>
            <w:r w:rsidRPr="00DF5000">
              <w:rPr>
                <w:rFonts w:ascii="Times New Roman" w:hAnsi="Times New Roman" w:cs="Times New Roman"/>
                <w:b/>
              </w:rPr>
              <w:t xml:space="preserve">, </w:t>
            </w:r>
            <w:r w:rsidR="00AD4380">
              <w:rPr>
                <w:rFonts w:ascii="Times New Roman" w:hAnsi="Times New Roman" w:cs="Times New Roman"/>
                <w:b/>
              </w:rPr>
              <w:t>предусматривающих значительную «отсрочку» в осуществлении страховой выплаты</w:t>
            </w:r>
          </w:p>
          <w:p w:rsidR="005053F1" w:rsidRPr="00DF5000" w:rsidRDefault="005053F1" w:rsidP="005053F1">
            <w:pPr>
              <w:contextualSpacing/>
              <w:jc w:val="both"/>
              <w:rPr>
                <w:rFonts w:ascii="Times New Roman" w:hAnsi="Times New Roman" w:cs="Times New Roman"/>
                <w:u w:val="single"/>
              </w:rPr>
            </w:pPr>
            <w:r w:rsidRPr="00DF5000">
              <w:rPr>
                <w:rFonts w:ascii="Times New Roman" w:hAnsi="Times New Roman" w:cs="Times New Roman"/>
                <w:u w:val="single"/>
              </w:rPr>
              <w:t>Требование потребителя финансовых услуг:</w:t>
            </w:r>
          </w:p>
          <w:p w:rsidR="005053F1" w:rsidRPr="00DF5000" w:rsidRDefault="005053F1" w:rsidP="005053F1">
            <w:pPr>
              <w:contextualSpacing/>
              <w:jc w:val="both"/>
              <w:rPr>
                <w:rFonts w:ascii="Times New Roman" w:hAnsi="Times New Roman" w:cs="Times New Roman"/>
              </w:rPr>
            </w:pPr>
            <w:r w:rsidRPr="00DF5000">
              <w:rPr>
                <w:rFonts w:ascii="Times New Roman" w:hAnsi="Times New Roman" w:cs="Times New Roman"/>
              </w:rPr>
              <w:t>К финансовому уполномоченному обратился потребитель финансовых услуг с требованием к страховой организации о взыскании страховой выплаты</w:t>
            </w:r>
            <w:r w:rsidR="00D22B3D" w:rsidRPr="00DF5000">
              <w:rPr>
                <w:rFonts w:ascii="Times New Roman" w:hAnsi="Times New Roman" w:cs="Times New Roman"/>
              </w:rPr>
              <w:t xml:space="preserve"> по договору страхования жизни и дополнительного инвестиционного дохода</w:t>
            </w:r>
            <w:r w:rsidRPr="00DF5000">
              <w:rPr>
                <w:rFonts w:ascii="Times New Roman" w:hAnsi="Times New Roman" w:cs="Times New Roman"/>
              </w:rPr>
              <w:t>.</w:t>
            </w:r>
          </w:p>
          <w:p w:rsidR="005053F1" w:rsidRPr="00DF5000" w:rsidRDefault="005053F1" w:rsidP="005053F1">
            <w:pPr>
              <w:contextualSpacing/>
              <w:jc w:val="both"/>
              <w:rPr>
                <w:rFonts w:ascii="Times New Roman" w:hAnsi="Times New Roman" w:cs="Times New Roman"/>
                <w:u w:val="single"/>
              </w:rPr>
            </w:pPr>
            <w:r w:rsidRPr="00DF5000">
              <w:rPr>
                <w:rFonts w:ascii="Times New Roman" w:hAnsi="Times New Roman" w:cs="Times New Roman"/>
                <w:u w:val="single"/>
              </w:rPr>
              <w:t>Фактические обстоятельства:</w:t>
            </w:r>
          </w:p>
          <w:p w:rsidR="00114461" w:rsidRPr="00DF5000" w:rsidRDefault="005053F1" w:rsidP="005053F1">
            <w:pPr>
              <w:contextualSpacing/>
              <w:jc w:val="both"/>
              <w:rPr>
                <w:rFonts w:ascii="Times New Roman" w:hAnsi="Times New Roman" w:cs="Times New Roman"/>
              </w:rPr>
            </w:pPr>
            <w:r w:rsidRPr="00DF5000">
              <w:rPr>
                <w:rFonts w:ascii="Times New Roman" w:hAnsi="Times New Roman" w:cs="Times New Roman"/>
              </w:rPr>
              <w:t xml:space="preserve">Между потребителем и страховой компанией был заключен договор добровольного страхования </w:t>
            </w:r>
            <w:r w:rsidR="00114461" w:rsidRPr="00DF5000">
              <w:rPr>
                <w:rFonts w:ascii="Times New Roman" w:hAnsi="Times New Roman" w:cs="Times New Roman"/>
              </w:rPr>
              <w:t xml:space="preserve">по программе «СмартПолис», страховыми рисками по которому являются «Дожитие застрахованного лица до окончания программы», «Смерть застрахованного лица». При этом датой окончания Договора страхования являлось 15.01.2024. Смерть застрахованного лица наступила в 2020 году, после чего наследники обратились за страховой выплатой, в осуществлении которой им было отказано. В соответствии с </w:t>
            </w:r>
            <w:r w:rsidR="00114461" w:rsidRPr="00DF5000">
              <w:rPr>
                <w:rFonts w:ascii="Times New Roman" w:hAnsi="Times New Roman" w:cs="Times New Roman"/>
              </w:rPr>
              <w:lastRenderedPageBreak/>
              <w:t>пунктом 9.4 Правил страхования по страховому риску «Смерть» договором устанавливается один из следующих порядков выплаты: 9.4.1. «Мгновенный порядок выплаты» и 9.4.2 «Выплата к сроку». При этом под «Выплатой к сроку» понимается порядок, при котором страховая выплата может быть произведена только по окончании срока страхования. Согласно пункту 4.1 Договора страхования порядок страховой выплаты по страховому риску «Смерть» определен как «Выплата к сроку». Таким образом, поскольку срок договора страхования оканчивается в 2024 году, финансовым уполномоченным в удовлетворении требований было отказано.</w:t>
            </w:r>
          </w:p>
          <w:p w:rsidR="005053F1" w:rsidRPr="00DF5000" w:rsidRDefault="005053F1" w:rsidP="005053F1">
            <w:pPr>
              <w:contextualSpacing/>
              <w:jc w:val="both"/>
              <w:rPr>
                <w:rFonts w:ascii="Times New Roman" w:hAnsi="Times New Roman" w:cs="Times New Roman"/>
                <w:u w:val="single"/>
              </w:rPr>
            </w:pPr>
            <w:r w:rsidRPr="00DF5000">
              <w:rPr>
                <w:rFonts w:ascii="Times New Roman" w:hAnsi="Times New Roman" w:cs="Times New Roman"/>
                <w:u w:val="single"/>
              </w:rPr>
              <w:t>Суть неприемлемой практики:</w:t>
            </w:r>
          </w:p>
          <w:p w:rsidR="009278B5" w:rsidRPr="00DF5000" w:rsidRDefault="00BE79A1" w:rsidP="00BE79A1">
            <w:pPr>
              <w:contextualSpacing/>
              <w:jc w:val="both"/>
              <w:rPr>
                <w:rFonts w:ascii="Times New Roman" w:hAnsi="Times New Roman" w:cs="Times New Roman"/>
                <w:u w:val="single"/>
              </w:rPr>
            </w:pPr>
            <w:r w:rsidRPr="00DF5000">
              <w:rPr>
                <w:rFonts w:ascii="Times New Roman" w:hAnsi="Times New Roman" w:cs="Times New Roman"/>
              </w:rPr>
              <w:t>Правилами и Договором страхования предусмотрен такой порядок выплат при смерти застрахованного лица, при котором наследники не могут получить выплату непосредственно после смерти застрахованного, что приводит к ущемлению их прав. Обязательство по страховой выплате возникает в таких же временных рамках, как и если бы реализовался страховой риск дожития.</w:t>
            </w:r>
          </w:p>
        </w:tc>
        <w:tc>
          <w:tcPr>
            <w:tcW w:w="2551" w:type="dxa"/>
          </w:tcPr>
          <w:p w:rsidR="009278B5" w:rsidRPr="00DF5000" w:rsidRDefault="005053F1" w:rsidP="00467F54">
            <w:pPr>
              <w:contextualSpacing/>
              <w:jc w:val="center"/>
              <w:rPr>
                <w:rFonts w:ascii="Times New Roman" w:hAnsi="Times New Roman" w:cs="Times New Roman"/>
                <w:sz w:val="24"/>
                <w:szCs w:val="24"/>
              </w:rPr>
            </w:pPr>
            <w:r w:rsidRPr="00DF5000">
              <w:rPr>
                <w:rFonts w:ascii="Times New Roman" w:hAnsi="Times New Roman" w:cs="Times New Roman"/>
                <w:sz w:val="24"/>
                <w:szCs w:val="24"/>
              </w:rPr>
              <w:lastRenderedPageBreak/>
              <w:t>ООО СК «Сбербанк страхование жизни»</w:t>
            </w:r>
          </w:p>
          <w:p w:rsidR="001B5A97" w:rsidRPr="00DF5000" w:rsidRDefault="001B5A97" w:rsidP="00467F54">
            <w:pPr>
              <w:contextualSpacing/>
              <w:jc w:val="center"/>
              <w:rPr>
                <w:rFonts w:ascii="Times New Roman" w:hAnsi="Times New Roman" w:cs="Times New Roman"/>
                <w:sz w:val="24"/>
                <w:szCs w:val="24"/>
              </w:rPr>
            </w:pPr>
          </w:p>
        </w:tc>
      </w:tr>
      <w:tr w:rsidR="001F6984" w:rsidRPr="00CC0732" w:rsidTr="000E38F6">
        <w:trPr>
          <w:jc w:val="center"/>
        </w:trPr>
        <w:tc>
          <w:tcPr>
            <w:tcW w:w="819" w:type="dxa"/>
            <w:vMerge w:val="restart"/>
          </w:tcPr>
          <w:p w:rsidR="001F6984" w:rsidRPr="006A041B" w:rsidRDefault="001F6984" w:rsidP="00227BF9">
            <w:pPr>
              <w:pStyle w:val="af2"/>
              <w:numPr>
                <w:ilvl w:val="0"/>
                <w:numId w:val="2"/>
              </w:numPr>
              <w:rPr>
                <w:rFonts w:ascii="Times New Roman" w:hAnsi="Times New Roman" w:cs="Times New Roman"/>
                <w:sz w:val="24"/>
                <w:szCs w:val="24"/>
              </w:rPr>
            </w:pPr>
          </w:p>
        </w:tc>
        <w:tc>
          <w:tcPr>
            <w:tcW w:w="2295" w:type="dxa"/>
            <w:vMerge w:val="restart"/>
          </w:tcPr>
          <w:p w:rsidR="001F6984" w:rsidRPr="006A041B" w:rsidRDefault="001F6984" w:rsidP="0069359F">
            <w:pPr>
              <w:contextualSpacing/>
              <w:jc w:val="center"/>
              <w:rPr>
                <w:rFonts w:ascii="Times New Roman" w:hAnsi="Times New Roman" w:cs="Times New Roman"/>
                <w:i/>
                <w:sz w:val="24"/>
                <w:szCs w:val="24"/>
              </w:rPr>
            </w:pPr>
            <w:r w:rsidRPr="006A041B">
              <w:rPr>
                <w:rFonts w:ascii="Times New Roman" w:hAnsi="Times New Roman" w:cs="Times New Roman"/>
                <w:i/>
                <w:sz w:val="24"/>
                <w:szCs w:val="24"/>
              </w:rPr>
              <w:t>Добровольное страхование жизни</w:t>
            </w:r>
          </w:p>
        </w:tc>
        <w:tc>
          <w:tcPr>
            <w:tcW w:w="7513" w:type="dxa"/>
          </w:tcPr>
          <w:p w:rsidR="001F6984" w:rsidRPr="006A041B" w:rsidRDefault="001F6984" w:rsidP="007842B4">
            <w:pPr>
              <w:contextualSpacing/>
              <w:jc w:val="both"/>
              <w:rPr>
                <w:rFonts w:ascii="Times New Roman" w:hAnsi="Times New Roman" w:cs="Times New Roman"/>
                <w:b/>
              </w:rPr>
            </w:pPr>
            <w:r>
              <w:rPr>
                <w:rFonts w:ascii="Times New Roman" w:hAnsi="Times New Roman" w:cs="Times New Roman"/>
                <w:b/>
              </w:rPr>
              <w:t xml:space="preserve">13.1. </w:t>
            </w:r>
            <w:r w:rsidRPr="006A041B">
              <w:rPr>
                <w:rFonts w:ascii="Times New Roman" w:hAnsi="Times New Roman" w:cs="Times New Roman"/>
                <w:b/>
              </w:rPr>
              <w:t xml:space="preserve">Приобретение в качестве инвестиционного актива финансового инструмента, не позволяющего реализовать его до установленной даты погашения, когда </w:t>
            </w:r>
            <w:r w:rsidR="006F7501">
              <w:rPr>
                <w:rFonts w:ascii="Times New Roman" w:hAnsi="Times New Roman" w:cs="Times New Roman"/>
                <w:b/>
              </w:rPr>
              <w:t xml:space="preserve">выплата </w:t>
            </w:r>
            <w:r w:rsidRPr="006A041B">
              <w:rPr>
                <w:rFonts w:ascii="Times New Roman" w:hAnsi="Times New Roman" w:cs="Times New Roman"/>
                <w:b/>
              </w:rPr>
              <w:t>дополнительного инвестиционного дохода зависит от возможности такой реализации</w:t>
            </w:r>
            <w:r>
              <w:rPr>
                <w:rFonts w:ascii="Times New Roman" w:hAnsi="Times New Roman" w:cs="Times New Roman"/>
                <w:b/>
              </w:rPr>
              <w:t xml:space="preserve"> и страховой случай может наступить до указанной даты</w:t>
            </w:r>
            <w:r w:rsidRPr="006A041B">
              <w:rPr>
                <w:rFonts w:ascii="Times New Roman" w:hAnsi="Times New Roman" w:cs="Times New Roman"/>
                <w:b/>
              </w:rPr>
              <w:t>.</w:t>
            </w:r>
          </w:p>
          <w:p w:rsidR="001F6984" w:rsidRPr="006A041B" w:rsidRDefault="001F6984" w:rsidP="007842B4">
            <w:pPr>
              <w:contextualSpacing/>
              <w:jc w:val="both"/>
              <w:rPr>
                <w:rFonts w:ascii="Times New Roman" w:hAnsi="Times New Roman" w:cs="Times New Roman"/>
                <w:u w:val="single"/>
              </w:rPr>
            </w:pPr>
            <w:r w:rsidRPr="006A041B">
              <w:rPr>
                <w:rFonts w:ascii="Times New Roman" w:hAnsi="Times New Roman" w:cs="Times New Roman"/>
                <w:u w:val="single"/>
              </w:rPr>
              <w:t>Требование потребителя финансовых услуг:</w:t>
            </w:r>
          </w:p>
          <w:p w:rsidR="001F6984" w:rsidRPr="006A041B" w:rsidRDefault="001F6984" w:rsidP="007842B4">
            <w:pPr>
              <w:contextualSpacing/>
              <w:jc w:val="both"/>
              <w:rPr>
                <w:rFonts w:ascii="Times New Roman" w:hAnsi="Times New Roman" w:cs="Times New Roman"/>
              </w:rPr>
            </w:pPr>
            <w:r w:rsidRPr="006A041B">
              <w:rPr>
                <w:rFonts w:ascii="Times New Roman" w:hAnsi="Times New Roman" w:cs="Times New Roman"/>
              </w:rPr>
              <w:t>К финансовому уполномоченному обратился потребитель финансовых услуг с требованием к страховой организации о взыскании дополнительного инвестиционного дохода по договору добровольного страхования.</w:t>
            </w:r>
          </w:p>
          <w:p w:rsidR="001F6984" w:rsidRPr="006A041B" w:rsidRDefault="001F6984" w:rsidP="007842B4">
            <w:pPr>
              <w:contextualSpacing/>
              <w:jc w:val="both"/>
              <w:rPr>
                <w:rFonts w:ascii="Times New Roman" w:hAnsi="Times New Roman" w:cs="Times New Roman"/>
                <w:u w:val="single"/>
              </w:rPr>
            </w:pPr>
            <w:r w:rsidRPr="006A041B">
              <w:rPr>
                <w:rFonts w:ascii="Times New Roman" w:hAnsi="Times New Roman" w:cs="Times New Roman"/>
                <w:u w:val="single"/>
              </w:rPr>
              <w:t>Фактические обстоятельства:</w:t>
            </w:r>
          </w:p>
          <w:p w:rsidR="001F6984" w:rsidRPr="006A041B" w:rsidRDefault="001F6984" w:rsidP="00F11033">
            <w:pPr>
              <w:contextualSpacing/>
              <w:jc w:val="both"/>
              <w:rPr>
                <w:rFonts w:ascii="Times New Roman" w:hAnsi="Times New Roman" w:cs="Times New Roman"/>
              </w:rPr>
            </w:pPr>
            <w:r w:rsidRPr="006A041B">
              <w:rPr>
                <w:rFonts w:ascii="Times New Roman" w:hAnsi="Times New Roman" w:cs="Times New Roman"/>
              </w:rPr>
              <w:t>Между потребителем и страховой организацией был заключен договор добровольного страхования жизни в соответствии с дополнительными правилами страхования жизни «Линия роста», страховыми рисками по которому являлись «Дожитие застрахованного лица до окончания программы», «Смерть застрахованного»,</w:t>
            </w:r>
            <w:r w:rsidRPr="006A041B">
              <w:t xml:space="preserve"> </w:t>
            </w:r>
            <w:r w:rsidRPr="006A041B">
              <w:rPr>
                <w:rFonts w:ascii="Times New Roman" w:hAnsi="Times New Roman" w:cs="Times New Roman"/>
              </w:rPr>
              <w:t xml:space="preserve">«Смерть застрахованного в результате несчастного случая». Пунктом 3.2.3 инвестиционной декларации, являющейся приложением к договору страхования, предусмотрено, что дополнительный инвестиционный доход при наступлении страхового случая по риску «смерть застрахованного» распределяется только в случае наличия у страховщика возможности реализации инструментов, привязанных к динамике базового актива. В случае невозможности реализации данных инструментов дополнительный инвестиционный доход не распределяется. При этом страховщиком в качестве такого инструмента была приобретена структурная нота (код ISIN XS1574999550), эмитентом которой является </w:t>
            </w:r>
            <w:r w:rsidRPr="006A041B">
              <w:rPr>
                <w:rFonts w:ascii="Times New Roman" w:hAnsi="Times New Roman" w:cs="Times New Roman"/>
              </w:rPr>
              <w:lastRenderedPageBreak/>
              <w:t xml:space="preserve">Citigroup Global Markets Funding Luxembourg S.C.A. (далее – Нота), имеющая определенные ограничения для реализации до даты погашения. </w:t>
            </w:r>
          </w:p>
          <w:p w:rsidR="001F6984" w:rsidRPr="006A041B" w:rsidRDefault="001F6984" w:rsidP="00F11033">
            <w:pPr>
              <w:contextualSpacing/>
              <w:jc w:val="both"/>
              <w:rPr>
                <w:rFonts w:ascii="Times New Roman" w:hAnsi="Times New Roman" w:cs="Times New Roman"/>
              </w:rPr>
            </w:pPr>
            <w:r w:rsidRPr="006A041B">
              <w:rPr>
                <w:rFonts w:ascii="Times New Roman" w:hAnsi="Times New Roman" w:cs="Times New Roman"/>
              </w:rPr>
              <w:t>Перепродажа Ноты может о</w:t>
            </w:r>
            <w:r w:rsidR="006F7501">
              <w:rPr>
                <w:rFonts w:ascii="Times New Roman" w:hAnsi="Times New Roman" w:cs="Times New Roman"/>
              </w:rPr>
              <w:t>существляться только на вторично</w:t>
            </w:r>
            <w:r w:rsidRPr="006A041B">
              <w:rPr>
                <w:rFonts w:ascii="Times New Roman" w:hAnsi="Times New Roman" w:cs="Times New Roman"/>
              </w:rPr>
              <w:t>м рынке, организуемом компанией Citigroup Global Markets Limited (выступает гарантом по данному финансовому инструменту), которая не гарантирует существование вторичного рынка, что следует из содержания разделов «Secondary Market» и «Liquidity and Early Sale Risk» условий Ноты.</w:t>
            </w:r>
          </w:p>
          <w:p w:rsidR="001F6984" w:rsidRPr="006A041B" w:rsidRDefault="001F6984" w:rsidP="00F11033">
            <w:pPr>
              <w:contextualSpacing/>
              <w:jc w:val="both"/>
              <w:rPr>
                <w:rFonts w:ascii="Times New Roman" w:hAnsi="Times New Roman" w:cs="Times New Roman"/>
              </w:rPr>
            </w:pPr>
            <w:r w:rsidRPr="006A041B">
              <w:rPr>
                <w:rFonts w:ascii="Times New Roman" w:hAnsi="Times New Roman" w:cs="Times New Roman"/>
              </w:rPr>
              <w:t>В случае если вторичный рынок Citigroup Global Markets Limited не организован, возможность реализации Ноты у страховщика заведомо отсутствует.</w:t>
            </w:r>
          </w:p>
          <w:p w:rsidR="001F6984" w:rsidRPr="006A041B" w:rsidRDefault="001F6984" w:rsidP="007842B4">
            <w:pPr>
              <w:contextualSpacing/>
              <w:jc w:val="both"/>
              <w:rPr>
                <w:rFonts w:ascii="Times New Roman" w:hAnsi="Times New Roman" w:cs="Times New Roman"/>
              </w:rPr>
            </w:pPr>
            <w:r w:rsidRPr="006A041B">
              <w:rPr>
                <w:rFonts w:ascii="Times New Roman" w:hAnsi="Times New Roman" w:cs="Times New Roman"/>
              </w:rPr>
              <w:t>Таким образом, страховщиком приобретается инвестиционный инструмент, заведомо не позволяющий осуществить выплату дополнительного инвестиционного дохода при реализации части страховых рисков, в данном случае риска «смерть застрахованного».</w:t>
            </w:r>
          </w:p>
          <w:p w:rsidR="001F6984" w:rsidRPr="006A041B" w:rsidRDefault="001F6984" w:rsidP="007842B4">
            <w:pPr>
              <w:contextualSpacing/>
              <w:jc w:val="both"/>
              <w:rPr>
                <w:rFonts w:ascii="Times New Roman" w:hAnsi="Times New Roman" w:cs="Times New Roman"/>
                <w:u w:val="single"/>
              </w:rPr>
            </w:pPr>
            <w:r w:rsidRPr="006A041B">
              <w:rPr>
                <w:rFonts w:ascii="Times New Roman" w:hAnsi="Times New Roman" w:cs="Times New Roman"/>
                <w:u w:val="single"/>
              </w:rPr>
              <w:t>Суть неприемлемой практики:</w:t>
            </w:r>
          </w:p>
          <w:p w:rsidR="001F6984" w:rsidRPr="006A041B" w:rsidRDefault="001F6984" w:rsidP="007842B4">
            <w:pPr>
              <w:contextualSpacing/>
              <w:jc w:val="both"/>
              <w:rPr>
                <w:rFonts w:ascii="Times New Roman" w:hAnsi="Times New Roman" w:cs="Times New Roman"/>
              </w:rPr>
            </w:pPr>
            <w:r w:rsidRPr="006A041B">
              <w:rPr>
                <w:rFonts w:ascii="Times New Roman" w:hAnsi="Times New Roman" w:cs="Times New Roman"/>
              </w:rPr>
              <w:t>Приобретение страховщиком в качестве инвестиционного актива финансового инструмента, не позволяющего реализовать его до установленной даты погашения, когда в соответствии с договором страхования выплата дополнительного инвестиционного дохода зависит от возможности такой реализации</w:t>
            </w:r>
            <w:r>
              <w:rPr>
                <w:rFonts w:ascii="Times New Roman" w:hAnsi="Times New Roman" w:cs="Times New Roman"/>
              </w:rPr>
              <w:t xml:space="preserve"> и при этом страховой случай может наступить до указанной даты</w:t>
            </w:r>
            <w:r w:rsidRPr="006A041B">
              <w:rPr>
                <w:rFonts w:ascii="Times New Roman" w:hAnsi="Times New Roman" w:cs="Times New Roman"/>
              </w:rPr>
              <w:t>.</w:t>
            </w:r>
          </w:p>
        </w:tc>
        <w:tc>
          <w:tcPr>
            <w:tcW w:w="2551" w:type="dxa"/>
            <w:vMerge w:val="restart"/>
          </w:tcPr>
          <w:p w:rsidR="001F6984" w:rsidRDefault="001F6984" w:rsidP="00467F54">
            <w:pPr>
              <w:contextualSpacing/>
              <w:jc w:val="center"/>
              <w:rPr>
                <w:rFonts w:ascii="Times New Roman" w:hAnsi="Times New Roman" w:cs="Times New Roman"/>
                <w:sz w:val="24"/>
                <w:szCs w:val="24"/>
              </w:rPr>
            </w:pPr>
            <w:r w:rsidRPr="00F11033">
              <w:rPr>
                <w:rFonts w:ascii="Times New Roman" w:hAnsi="Times New Roman" w:cs="Times New Roman"/>
                <w:sz w:val="24"/>
                <w:szCs w:val="24"/>
              </w:rPr>
              <w:lastRenderedPageBreak/>
              <w:t>ООО «ВСК-Линия жизни»</w:t>
            </w:r>
          </w:p>
          <w:p w:rsidR="001F6984" w:rsidRDefault="001F6984" w:rsidP="00467F54">
            <w:pPr>
              <w:contextualSpacing/>
              <w:jc w:val="center"/>
              <w:rPr>
                <w:rFonts w:ascii="Times New Roman" w:hAnsi="Times New Roman" w:cs="Times New Roman"/>
                <w:sz w:val="24"/>
                <w:szCs w:val="24"/>
              </w:rPr>
            </w:pPr>
          </w:p>
        </w:tc>
      </w:tr>
      <w:tr w:rsidR="001F6984" w:rsidRPr="00CC0732" w:rsidTr="000E38F6">
        <w:trPr>
          <w:jc w:val="center"/>
        </w:trPr>
        <w:tc>
          <w:tcPr>
            <w:tcW w:w="819" w:type="dxa"/>
            <w:vMerge/>
          </w:tcPr>
          <w:p w:rsidR="001F6984" w:rsidRPr="006A041B" w:rsidRDefault="001F6984" w:rsidP="00227BF9">
            <w:pPr>
              <w:pStyle w:val="af2"/>
              <w:numPr>
                <w:ilvl w:val="0"/>
                <w:numId w:val="2"/>
              </w:numPr>
              <w:rPr>
                <w:rFonts w:ascii="Times New Roman" w:hAnsi="Times New Roman" w:cs="Times New Roman"/>
                <w:sz w:val="24"/>
                <w:szCs w:val="24"/>
              </w:rPr>
            </w:pPr>
          </w:p>
        </w:tc>
        <w:tc>
          <w:tcPr>
            <w:tcW w:w="2295" w:type="dxa"/>
            <w:vMerge/>
          </w:tcPr>
          <w:p w:rsidR="001F6984" w:rsidRPr="006A041B" w:rsidRDefault="001F6984" w:rsidP="0069359F">
            <w:pPr>
              <w:contextualSpacing/>
              <w:jc w:val="center"/>
              <w:rPr>
                <w:rFonts w:ascii="Times New Roman" w:hAnsi="Times New Roman" w:cs="Times New Roman"/>
                <w:i/>
                <w:sz w:val="24"/>
                <w:szCs w:val="24"/>
              </w:rPr>
            </w:pPr>
          </w:p>
        </w:tc>
        <w:tc>
          <w:tcPr>
            <w:tcW w:w="7513" w:type="dxa"/>
          </w:tcPr>
          <w:p w:rsidR="001F6984" w:rsidRPr="001F6984" w:rsidRDefault="001F6984" w:rsidP="001F6984">
            <w:pPr>
              <w:contextualSpacing/>
              <w:jc w:val="both"/>
              <w:rPr>
                <w:rFonts w:ascii="Times New Roman" w:hAnsi="Times New Roman" w:cs="Times New Roman"/>
                <w:b/>
              </w:rPr>
            </w:pPr>
            <w:r w:rsidRPr="001F6984">
              <w:rPr>
                <w:rFonts w:ascii="Times New Roman" w:hAnsi="Times New Roman" w:cs="Times New Roman"/>
                <w:b/>
              </w:rPr>
              <w:t>13.2. Включение в договор или правила страхования положений, порождающих неопределенность относительно выплаты дополнительного инвестиционного дохода</w:t>
            </w:r>
            <w:r>
              <w:rPr>
                <w:rFonts w:ascii="Times New Roman" w:hAnsi="Times New Roman" w:cs="Times New Roman"/>
                <w:b/>
              </w:rPr>
              <w:t>.</w:t>
            </w:r>
          </w:p>
          <w:p w:rsidR="001F6984" w:rsidRPr="001F6984" w:rsidRDefault="001F6984" w:rsidP="001F6984">
            <w:pPr>
              <w:contextualSpacing/>
              <w:jc w:val="both"/>
              <w:rPr>
                <w:rFonts w:ascii="Times New Roman" w:hAnsi="Times New Roman" w:cs="Times New Roman"/>
              </w:rPr>
            </w:pPr>
            <w:r w:rsidRPr="001F6984">
              <w:rPr>
                <w:rFonts w:ascii="Times New Roman" w:hAnsi="Times New Roman" w:cs="Times New Roman"/>
                <w:u w:val="single"/>
              </w:rPr>
              <w:t>Фактические обстоятельства:</w:t>
            </w:r>
          </w:p>
          <w:p w:rsidR="001F6984" w:rsidRPr="001F6984" w:rsidRDefault="001F6984" w:rsidP="001F6984">
            <w:pPr>
              <w:contextualSpacing/>
              <w:jc w:val="both"/>
              <w:rPr>
                <w:rFonts w:ascii="Times New Roman" w:hAnsi="Times New Roman" w:cs="Times New Roman"/>
              </w:rPr>
            </w:pPr>
            <w:r w:rsidRPr="001F6984">
              <w:rPr>
                <w:rFonts w:ascii="Times New Roman" w:hAnsi="Times New Roman" w:cs="Times New Roman"/>
              </w:rPr>
              <w:t>Согласно договору страхования сумма выплаты при наступлении страхового события по риску Дожитие застрахованного лица до окончания программы» или «Смерть застрахованного» включает в себя страховую сумму и сумму дополнительного инвестиционного дохода. Пунктом 4.1 инвестиционной декларации, являющейся приложением к договору страхования</w:t>
            </w:r>
            <w:r w:rsidR="00A52312">
              <w:rPr>
                <w:rFonts w:ascii="Times New Roman" w:hAnsi="Times New Roman" w:cs="Times New Roman"/>
              </w:rPr>
              <w:t>,</w:t>
            </w:r>
            <w:r w:rsidRPr="001F6984">
              <w:rPr>
                <w:rFonts w:ascii="Times New Roman" w:hAnsi="Times New Roman" w:cs="Times New Roman"/>
              </w:rPr>
              <w:t xml:space="preserve"> предусмотрено, что перечисленные в разделе 4 инвестиционной декларации риски могут оказать негативное влияние на размер и возможность распределения дополнительного инвестиционного дохода.</w:t>
            </w:r>
          </w:p>
          <w:p w:rsidR="001F6984" w:rsidRPr="001F6984" w:rsidRDefault="001F6984" w:rsidP="001F6984">
            <w:pPr>
              <w:contextualSpacing/>
              <w:jc w:val="both"/>
              <w:rPr>
                <w:rFonts w:ascii="Times New Roman" w:hAnsi="Times New Roman" w:cs="Times New Roman"/>
              </w:rPr>
            </w:pPr>
            <w:r w:rsidRPr="001F6984">
              <w:rPr>
                <w:rFonts w:ascii="Times New Roman" w:hAnsi="Times New Roman" w:cs="Times New Roman"/>
              </w:rPr>
              <w:t>При этом в разделе 4 не указано, реализация каких именно рисков повлечет невозможность выплаты дополнительного инвестиционного дохода, а каких уменьшение ее размера и как происходит такое уменьшение.</w:t>
            </w:r>
          </w:p>
          <w:p w:rsidR="001F6984" w:rsidRPr="001F6984" w:rsidRDefault="001F6984" w:rsidP="001F6984">
            <w:pPr>
              <w:contextualSpacing/>
              <w:jc w:val="both"/>
              <w:rPr>
                <w:rFonts w:ascii="Times New Roman" w:hAnsi="Times New Roman" w:cs="Times New Roman"/>
                <w:u w:val="single"/>
              </w:rPr>
            </w:pPr>
            <w:r w:rsidRPr="001F6984">
              <w:rPr>
                <w:rFonts w:ascii="Times New Roman" w:hAnsi="Times New Roman" w:cs="Times New Roman"/>
                <w:u w:val="single"/>
              </w:rPr>
              <w:t>Суть неприемлемой практики:</w:t>
            </w:r>
          </w:p>
          <w:p w:rsidR="001F6984" w:rsidRPr="006A041B" w:rsidRDefault="001F6984" w:rsidP="001F6984">
            <w:pPr>
              <w:contextualSpacing/>
              <w:jc w:val="both"/>
              <w:rPr>
                <w:rFonts w:ascii="Times New Roman" w:hAnsi="Times New Roman" w:cs="Times New Roman"/>
                <w:b/>
              </w:rPr>
            </w:pPr>
            <w:r w:rsidRPr="001F6984">
              <w:rPr>
                <w:rFonts w:ascii="Times New Roman" w:hAnsi="Times New Roman" w:cs="Times New Roman"/>
              </w:rPr>
              <w:t xml:space="preserve">Включение в договор или правила страхования положений, которые ввиду своей неопределенности не позволяют потребителям точно установить, подлежит ли дополнительный инвестиционный доход выплате при </w:t>
            </w:r>
            <w:r w:rsidRPr="001F6984">
              <w:rPr>
                <w:rFonts w:ascii="Times New Roman" w:hAnsi="Times New Roman" w:cs="Times New Roman"/>
              </w:rPr>
              <w:lastRenderedPageBreak/>
              <w:t>наступлении страхованного случая, а если выплата дополнительного инвестиционного дохода полагается, то в каком размере.</w:t>
            </w:r>
          </w:p>
        </w:tc>
        <w:tc>
          <w:tcPr>
            <w:tcW w:w="2551" w:type="dxa"/>
            <w:vMerge/>
          </w:tcPr>
          <w:p w:rsidR="001F6984" w:rsidRPr="00F11033" w:rsidRDefault="001F6984" w:rsidP="00467F54">
            <w:pPr>
              <w:contextualSpacing/>
              <w:jc w:val="center"/>
              <w:rPr>
                <w:rFonts w:ascii="Times New Roman" w:hAnsi="Times New Roman" w:cs="Times New Roman"/>
                <w:sz w:val="24"/>
                <w:szCs w:val="24"/>
              </w:rPr>
            </w:pPr>
          </w:p>
        </w:tc>
      </w:tr>
      <w:tr w:rsidR="007842B4" w:rsidRPr="00755CFD" w:rsidTr="000E38F6">
        <w:trPr>
          <w:jc w:val="center"/>
        </w:trPr>
        <w:tc>
          <w:tcPr>
            <w:tcW w:w="819" w:type="dxa"/>
          </w:tcPr>
          <w:p w:rsidR="007842B4" w:rsidRPr="00755CFD" w:rsidRDefault="007842B4" w:rsidP="00227BF9">
            <w:pPr>
              <w:pStyle w:val="af2"/>
              <w:numPr>
                <w:ilvl w:val="0"/>
                <w:numId w:val="2"/>
              </w:numPr>
              <w:rPr>
                <w:rFonts w:ascii="Times New Roman" w:hAnsi="Times New Roman" w:cs="Times New Roman"/>
                <w:sz w:val="24"/>
                <w:szCs w:val="24"/>
              </w:rPr>
            </w:pPr>
          </w:p>
        </w:tc>
        <w:tc>
          <w:tcPr>
            <w:tcW w:w="2295" w:type="dxa"/>
          </w:tcPr>
          <w:p w:rsidR="007842B4" w:rsidRPr="00755CFD" w:rsidRDefault="00DF5000" w:rsidP="0069359F">
            <w:pPr>
              <w:contextualSpacing/>
              <w:jc w:val="center"/>
              <w:rPr>
                <w:rFonts w:ascii="Times New Roman" w:hAnsi="Times New Roman" w:cs="Times New Roman"/>
                <w:i/>
                <w:sz w:val="24"/>
                <w:szCs w:val="24"/>
              </w:rPr>
            </w:pPr>
            <w:r w:rsidRPr="00755CFD">
              <w:rPr>
                <w:rFonts w:ascii="Times New Roman" w:hAnsi="Times New Roman" w:cs="Times New Roman"/>
                <w:i/>
                <w:sz w:val="24"/>
                <w:szCs w:val="24"/>
              </w:rPr>
              <w:t>Добровольное страхование жизни</w:t>
            </w:r>
          </w:p>
        </w:tc>
        <w:tc>
          <w:tcPr>
            <w:tcW w:w="7513" w:type="dxa"/>
          </w:tcPr>
          <w:p w:rsidR="00C85A11" w:rsidRPr="00755CFD" w:rsidRDefault="00C85A11" w:rsidP="005D2DB4">
            <w:pPr>
              <w:contextualSpacing/>
              <w:jc w:val="both"/>
              <w:rPr>
                <w:rFonts w:ascii="Times New Roman" w:hAnsi="Times New Roman" w:cs="Times New Roman"/>
                <w:b/>
              </w:rPr>
            </w:pPr>
            <w:r w:rsidRPr="00755CFD">
              <w:rPr>
                <w:rFonts w:ascii="Times New Roman" w:hAnsi="Times New Roman" w:cs="Times New Roman"/>
                <w:b/>
              </w:rPr>
              <w:t>Введение в заблуждение относительно сути заключаемого договора</w:t>
            </w:r>
          </w:p>
          <w:p w:rsidR="005D2DB4" w:rsidRPr="00755CFD" w:rsidRDefault="005D2DB4" w:rsidP="005D2DB4">
            <w:pPr>
              <w:contextualSpacing/>
              <w:jc w:val="both"/>
              <w:rPr>
                <w:rFonts w:ascii="Times New Roman" w:hAnsi="Times New Roman" w:cs="Times New Roman"/>
                <w:u w:val="single"/>
              </w:rPr>
            </w:pPr>
            <w:r w:rsidRPr="00755CFD">
              <w:rPr>
                <w:rFonts w:ascii="Times New Roman" w:hAnsi="Times New Roman" w:cs="Times New Roman"/>
                <w:u w:val="single"/>
              </w:rPr>
              <w:t>Требование потребителя финансовых услуг:</w:t>
            </w:r>
          </w:p>
          <w:p w:rsidR="005D2DB4" w:rsidRPr="00755CFD" w:rsidRDefault="005D2DB4" w:rsidP="005D2DB4">
            <w:pPr>
              <w:contextualSpacing/>
              <w:jc w:val="both"/>
              <w:rPr>
                <w:rFonts w:ascii="Times New Roman" w:hAnsi="Times New Roman" w:cs="Times New Roman"/>
              </w:rPr>
            </w:pPr>
            <w:r w:rsidRPr="00755CFD">
              <w:rPr>
                <w:rFonts w:ascii="Times New Roman" w:hAnsi="Times New Roman" w:cs="Times New Roman"/>
              </w:rPr>
              <w:t>К финансовому уполномоченному обратился потребитель финансовых услуг с требованием к страховой организации о взыскании дополнительного инвестиционного дохода по договору добровольного страхования.</w:t>
            </w:r>
          </w:p>
          <w:p w:rsidR="005D2DB4" w:rsidRPr="00755CFD" w:rsidRDefault="005D2DB4" w:rsidP="005D2DB4">
            <w:pPr>
              <w:contextualSpacing/>
              <w:jc w:val="both"/>
              <w:rPr>
                <w:rFonts w:ascii="Times New Roman" w:hAnsi="Times New Roman" w:cs="Times New Roman"/>
                <w:u w:val="single"/>
              </w:rPr>
            </w:pPr>
            <w:r w:rsidRPr="00755CFD">
              <w:rPr>
                <w:rFonts w:ascii="Times New Roman" w:hAnsi="Times New Roman" w:cs="Times New Roman"/>
                <w:u w:val="single"/>
              </w:rPr>
              <w:t>Фактические обстоятельства:</w:t>
            </w:r>
          </w:p>
          <w:p w:rsidR="005D2DB4" w:rsidRPr="00755CFD" w:rsidRDefault="008421E7" w:rsidP="005D2DB4">
            <w:pPr>
              <w:contextualSpacing/>
              <w:jc w:val="both"/>
              <w:rPr>
                <w:rFonts w:ascii="Times New Roman" w:hAnsi="Times New Roman" w:cs="Times New Roman"/>
              </w:rPr>
            </w:pPr>
            <w:r w:rsidRPr="00755CFD">
              <w:rPr>
                <w:rFonts w:ascii="Times New Roman" w:hAnsi="Times New Roman" w:cs="Times New Roman"/>
              </w:rPr>
              <w:t>Между потребителем и страховой компанией в 2019 году был заключен договор добровольного страхования жизни по программе «Инвестор» со сроком действия 3 года. Указанный договор предусматривает выплату дополнит</w:t>
            </w:r>
            <w:r w:rsidR="00C05DE1" w:rsidRPr="00755CFD">
              <w:rPr>
                <w:rFonts w:ascii="Times New Roman" w:hAnsi="Times New Roman" w:cs="Times New Roman"/>
              </w:rPr>
              <w:t>ельного инвестиционного дохода.</w:t>
            </w:r>
          </w:p>
          <w:p w:rsidR="008421E7" w:rsidRPr="00755CFD" w:rsidRDefault="00C05DE1" w:rsidP="005D2DB4">
            <w:pPr>
              <w:contextualSpacing/>
              <w:jc w:val="both"/>
              <w:rPr>
                <w:rFonts w:ascii="Times New Roman" w:hAnsi="Times New Roman" w:cs="Times New Roman"/>
              </w:rPr>
            </w:pPr>
            <w:r w:rsidRPr="00755CFD">
              <w:rPr>
                <w:rFonts w:ascii="Times New Roman" w:hAnsi="Times New Roman" w:cs="Times New Roman"/>
              </w:rPr>
              <w:t>В</w:t>
            </w:r>
            <w:r w:rsidR="008421E7" w:rsidRPr="00755CFD">
              <w:rPr>
                <w:rFonts w:ascii="Times New Roman" w:hAnsi="Times New Roman" w:cs="Times New Roman"/>
              </w:rPr>
              <w:t xml:space="preserve"> материалы обращения потребителем финансовых услуг предоставлена памятка, содержащая формулу</w:t>
            </w:r>
            <w:r w:rsidRPr="00755CFD">
              <w:rPr>
                <w:rFonts w:ascii="Times New Roman" w:hAnsi="Times New Roman" w:cs="Times New Roman"/>
              </w:rPr>
              <w:t xml:space="preserve"> расчета дополнительного инвестиционного дохода</w:t>
            </w:r>
            <w:r w:rsidR="008421E7" w:rsidRPr="00755CFD">
              <w:rPr>
                <w:rFonts w:ascii="Times New Roman" w:hAnsi="Times New Roman" w:cs="Times New Roman"/>
              </w:rPr>
              <w:t>. Памятка, является «приложением к договору и его неотъемлемой частью».</w:t>
            </w:r>
            <w:r w:rsidR="00BB5FD7" w:rsidRPr="00755CFD">
              <w:rPr>
                <w:rFonts w:ascii="Times New Roman" w:hAnsi="Times New Roman" w:cs="Times New Roman"/>
              </w:rPr>
              <w:t xml:space="preserve"> </w:t>
            </w:r>
            <w:r w:rsidRPr="00755CFD">
              <w:rPr>
                <w:rFonts w:ascii="Times New Roman" w:hAnsi="Times New Roman" w:cs="Times New Roman"/>
              </w:rPr>
              <w:t>Р</w:t>
            </w:r>
            <w:r w:rsidR="008421E7" w:rsidRPr="00755CFD">
              <w:rPr>
                <w:rFonts w:ascii="Times New Roman" w:hAnsi="Times New Roman" w:cs="Times New Roman"/>
              </w:rPr>
              <w:t>аздел</w:t>
            </w:r>
            <w:r w:rsidRPr="00755CFD">
              <w:rPr>
                <w:rFonts w:ascii="Times New Roman" w:hAnsi="Times New Roman" w:cs="Times New Roman"/>
              </w:rPr>
              <w:t xml:space="preserve"> 8</w:t>
            </w:r>
            <w:r w:rsidR="008421E7" w:rsidRPr="00755CFD">
              <w:rPr>
                <w:rFonts w:ascii="Times New Roman" w:hAnsi="Times New Roman" w:cs="Times New Roman"/>
              </w:rPr>
              <w:t xml:space="preserve"> памятки содержит указание на то, что договор страхования не является договором банковского вклада. Вместе с тем в разделе </w:t>
            </w:r>
            <w:r w:rsidR="00755CFD" w:rsidRPr="00755CFD">
              <w:rPr>
                <w:rFonts w:ascii="Times New Roman" w:hAnsi="Times New Roman" w:cs="Times New Roman"/>
              </w:rPr>
              <w:t xml:space="preserve">7 Памятки </w:t>
            </w:r>
            <w:r w:rsidR="008421E7" w:rsidRPr="00755CFD">
              <w:rPr>
                <w:rFonts w:ascii="Times New Roman" w:hAnsi="Times New Roman" w:cs="Times New Roman"/>
              </w:rPr>
              <w:t xml:space="preserve">для описания порядка начисления </w:t>
            </w:r>
            <w:r w:rsidR="006A041B" w:rsidRPr="00755CFD">
              <w:rPr>
                <w:rFonts w:ascii="Times New Roman" w:hAnsi="Times New Roman" w:cs="Times New Roman"/>
              </w:rPr>
              <w:t>дополнительного инвестиционного дохода</w:t>
            </w:r>
            <w:r w:rsidR="008421E7" w:rsidRPr="00755CFD">
              <w:rPr>
                <w:rFonts w:ascii="Times New Roman" w:hAnsi="Times New Roman" w:cs="Times New Roman"/>
              </w:rPr>
              <w:t xml:space="preserve"> использован термин «накопленная стоимость вклада».</w:t>
            </w:r>
            <w:r w:rsidR="00BB5FD7" w:rsidRPr="00755CFD">
              <w:rPr>
                <w:rFonts w:ascii="Times New Roman" w:hAnsi="Times New Roman" w:cs="Times New Roman"/>
              </w:rPr>
              <w:t xml:space="preserve"> </w:t>
            </w:r>
            <w:r w:rsidR="008421E7" w:rsidRPr="00755CFD">
              <w:rPr>
                <w:rFonts w:ascii="Times New Roman" w:hAnsi="Times New Roman" w:cs="Times New Roman"/>
              </w:rPr>
              <w:t>Так, памяткой предусмотрено, что сумма страховой выплаты в случае дожития застрахованного до окончания срока действия договора страхования определяется как «накопленная сумма стоимости вклада, но не менее гарантированной страховой суммы, определенной в договоре страхования».</w:t>
            </w:r>
          </w:p>
          <w:p w:rsidR="005D2DB4" w:rsidRPr="00755CFD" w:rsidRDefault="005D2DB4" w:rsidP="005D2DB4">
            <w:pPr>
              <w:contextualSpacing/>
              <w:jc w:val="both"/>
              <w:rPr>
                <w:rFonts w:ascii="Times New Roman" w:hAnsi="Times New Roman" w:cs="Times New Roman"/>
                <w:u w:val="single"/>
              </w:rPr>
            </w:pPr>
            <w:r w:rsidRPr="00755CFD">
              <w:rPr>
                <w:rFonts w:ascii="Times New Roman" w:hAnsi="Times New Roman" w:cs="Times New Roman"/>
                <w:u w:val="single"/>
              </w:rPr>
              <w:t>Суть неприемлемой практики:</w:t>
            </w:r>
          </w:p>
          <w:p w:rsidR="007842B4" w:rsidRPr="00755CFD" w:rsidRDefault="000C41FD" w:rsidP="00755CFD">
            <w:pPr>
              <w:contextualSpacing/>
              <w:jc w:val="both"/>
              <w:rPr>
                <w:rFonts w:ascii="Times New Roman" w:hAnsi="Times New Roman" w:cs="Times New Roman"/>
              </w:rPr>
            </w:pPr>
            <w:r w:rsidRPr="00755CFD">
              <w:rPr>
                <w:rFonts w:ascii="Times New Roman" w:hAnsi="Times New Roman" w:cs="Times New Roman"/>
              </w:rPr>
              <w:t>В памятке к договору страхования страховщиком используется терминология («накопленная стоимость вклада»), которая может ввести потребителя в заблуждение относительно природы заключаемого им договора.</w:t>
            </w:r>
          </w:p>
        </w:tc>
        <w:tc>
          <w:tcPr>
            <w:tcW w:w="2551" w:type="dxa"/>
          </w:tcPr>
          <w:p w:rsidR="007842B4" w:rsidRPr="00755CFD" w:rsidRDefault="005D2DB4" w:rsidP="00467F54">
            <w:pPr>
              <w:contextualSpacing/>
              <w:jc w:val="center"/>
              <w:rPr>
                <w:rFonts w:ascii="Times New Roman" w:hAnsi="Times New Roman" w:cs="Times New Roman"/>
                <w:sz w:val="24"/>
                <w:szCs w:val="24"/>
              </w:rPr>
            </w:pPr>
            <w:r w:rsidRPr="00755CFD">
              <w:rPr>
                <w:rFonts w:ascii="Times New Roman" w:hAnsi="Times New Roman" w:cs="Times New Roman"/>
                <w:sz w:val="24"/>
                <w:szCs w:val="24"/>
              </w:rPr>
              <w:t>ООО «СК «Ренессанс Жизнь»</w:t>
            </w:r>
          </w:p>
          <w:p w:rsidR="00FF02DF" w:rsidRPr="00755CFD" w:rsidRDefault="00FF02DF" w:rsidP="00467F54">
            <w:pPr>
              <w:contextualSpacing/>
              <w:jc w:val="center"/>
              <w:rPr>
                <w:rFonts w:ascii="Times New Roman" w:hAnsi="Times New Roman" w:cs="Times New Roman"/>
                <w:sz w:val="24"/>
                <w:szCs w:val="24"/>
              </w:rPr>
            </w:pPr>
          </w:p>
        </w:tc>
      </w:tr>
      <w:tr w:rsidR="00BB5FD7" w:rsidRPr="00755CFD" w:rsidTr="000E38F6">
        <w:trPr>
          <w:jc w:val="center"/>
        </w:trPr>
        <w:tc>
          <w:tcPr>
            <w:tcW w:w="819" w:type="dxa"/>
            <w:vMerge w:val="restart"/>
          </w:tcPr>
          <w:p w:rsidR="00BB5FD7" w:rsidRPr="00755CFD" w:rsidRDefault="00BB5FD7" w:rsidP="00227BF9">
            <w:pPr>
              <w:pStyle w:val="af2"/>
              <w:numPr>
                <w:ilvl w:val="0"/>
                <w:numId w:val="2"/>
              </w:numPr>
              <w:rPr>
                <w:rFonts w:ascii="Times New Roman" w:hAnsi="Times New Roman" w:cs="Times New Roman"/>
                <w:sz w:val="24"/>
                <w:szCs w:val="24"/>
              </w:rPr>
            </w:pPr>
          </w:p>
        </w:tc>
        <w:tc>
          <w:tcPr>
            <w:tcW w:w="2295" w:type="dxa"/>
            <w:vMerge w:val="restart"/>
          </w:tcPr>
          <w:p w:rsidR="00BB5FD7" w:rsidRPr="00755CFD" w:rsidRDefault="00DF5000" w:rsidP="0069359F">
            <w:pPr>
              <w:contextualSpacing/>
              <w:jc w:val="center"/>
              <w:rPr>
                <w:rFonts w:ascii="Times New Roman" w:hAnsi="Times New Roman" w:cs="Times New Roman"/>
                <w:i/>
                <w:sz w:val="24"/>
                <w:szCs w:val="24"/>
              </w:rPr>
            </w:pPr>
            <w:r w:rsidRPr="00755CFD">
              <w:rPr>
                <w:rFonts w:ascii="Times New Roman" w:hAnsi="Times New Roman" w:cs="Times New Roman"/>
                <w:i/>
                <w:sz w:val="24"/>
                <w:szCs w:val="24"/>
              </w:rPr>
              <w:t xml:space="preserve">Добровольное страхование жизни </w:t>
            </w:r>
          </w:p>
        </w:tc>
        <w:tc>
          <w:tcPr>
            <w:tcW w:w="7513" w:type="dxa"/>
          </w:tcPr>
          <w:p w:rsidR="00DD4A4D" w:rsidRPr="005D626D" w:rsidRDefault="00DD4A4D" w:rsidP="00BB5FD7">
            <w:pPr>
              <w:contextualSpacing/>
              <w:jc w:val="both"/>
              <w:rPr>
                <w:rFonts w:ascii="Times New Roman" w:hAnsi="Times New Roman" w:cs="Times New Roman"/>
                <w:b/>
              </w:rPr>
            </w:pPr>
            <w:r w:rsidRPr="005D626D">
              <w:rPr>
                <w:rFonts w:ascii="Times New Roman" w:hAnsi="Times New Roman" w:cs="Times New Roman"/>
                <w:b/>
              </w:rPr>
              <w:t>Установление в договоре и</w:t>
            </w:r>
            <w:r w:rsidR="00755CFD" w:rsidRPr="005D626D">
              <w:rPr>
                <w:rFonts w:ascii="Times New Roman" w:hAnsi="Times New Roman" w:cs="Times New Roman"/>
                <w:b/>
              </w:rPr>
              <w:t>ли</w:t>
            </w:r>
            <w:r w:rsidRPr="005D626D">
              <w:rPr>
                <w:rFonts w:ascii="Times New Roman" w:hAnsi="Times New Roman" w:cs="Times New Roman"/>
                <w:b/>
              </w:rPr>
              <w:t xml:space="preserve"> правилах </w:t>
            </w:r>
            <w:r w:rsidR="00755CFD" w:rsidRPr="005D626D">
              <w:rPr>
                <w:rFonts w:ascii="Times New Roman" w:hAnsi="Times New Roman" w:cs="Times New Roman"/>
                <w:b/>
              </w:rPr>
              <w:t xml:space="preserve">страхования </w:t>
            </w:r>
            <w:r w:rsidRPr="005D626D">
              <w:rPr>
                <w:rFonts w:ascii="Times New Roman" w:hAnsi="Times New Roman" w:cs="Times New Roman"/>
                <w:b/>
              </w:rPr>
              <w:t xml:space="preserve">права страховщика на односторонний отказ от исполнения обязательств по выплате </w:t>
            </w:r>
            <w:r w:rsidR="006A041B" w:rsidRPr="005D626D">
              <w:rPr>
                <w:rFonts w:ascii="Times New Roman" w:hAnsi="Times New Roman" w:cs="Times New Roman"/>
                <w:b/>
              </w:rPr>
              <w:t>дополнительного инвестиционного дохода</w:t>
            </w:r>
          </w:p>
          <w:p w:rsidR="00BB5FD7" w:rsidRPr="005D626D" w:rsidRDefault="00DB1A7F" w:rsidP="00BB5FD7">
            <w:pPr>
              <w:contextualSpacing/>
              <w:jc w:val="both"/>
              <w:rPr>
                <w:rFonts w:ascii="Times New Roman" w:hAnsi="Times New Roman" w:cs="Times New Roman"/>
                <w:u w:val="single"/>
              </w:rPr>
            </w:pPr>
            <w:r>
              <w:rPr>
                <w:rFonts w:ascii="Times New Roman" w:hAnsi="Times New Roman" w:cs="Times New Roman"/>
                <w:u w:val="single"/>
              </w:rPr>
              <w:t>1</w:t>
            </w:r>
            <w:r w:rsidRPr="008820D2">
              <w:rPr>
                <w:rFonts w:ascii="Times New Roman" w:hAnsi="Times New Roman" w:cs="Times New Roman"/>
                <w:u w:val="single"/>
              </w:rPr>
              <w:t>2</w:t>
            </w:r>
            <w:r w:rsidR="00BB5FD7" w:rsidRPr="005D626D">
              <w:rPr>
                <w:rFonts w:ascii="Times New Roman" w:hAnsi="Times New Roman" w:cs="Times New Roman"/>
                <w:u w:val="single"/>
              </w:rPr>
              <w:t>.1. Требование потребителя финансовых услуг:</w:t>
            </w:r>
          </w:p>
          <w:p w:rsidR="00BB5FD7" w:rsidRPr="005D626D" w:rsidRDefault="00BB5FD7" w:rsidP="00BB5FD7">
            <w:pPr>
              <w:contextualSpacing/>
              <w:jc w:val="both"/>
              <w:rPr>
                <w:rFonts w:ascii="Times New Roman" w:hAnsi="Times New Roman" w:cs="Times New Roman"/>
              </w:rPr>
            </w:pPr>
            <w:r w:rsidRPr="005D626D">
              <w:rPr>
                <w:rFonts w:ascii="Times New Roman" w:hAnsi="Times New Roman" w:cs="Times New Roman"/>
              </w:rPr>
              <w:t>К финансовому уполномоченному обратился потребител</w:t>
            </w:r>
            <w:r w:rsidR="00985C70">
              <w:rPr>
                <w:rFonts w:ascii="Times New Roman" w:hAnsi="Times New Roman" w:cs="Times New Roman"/>
              </w:rPr>
              <w:t>ь финансовых услуг с требованиями</w:t>
            </w:r>
            <w:r w:rsidRPr="005D626D">
              <w:rPr>
                <w:rFonts w:ascii="Times New Roman" w:hAnsi="Times New Roman" w:cs="Times New Roman"/>
              </w:rPr>
              <w:t xml:space="preserve"> о взыскании дополнительного инвестиционного дохода по договору добровольного страхования жизни</w:t>
            </w:r>
            <w:r w:rsidR="009E3D70" w:rsidRPr="005D626D">
              <w:rPr>
                <w:rFonts w:ascii="Times New Roman" w:hAnsi="Times New Roman" w:cs="Times New Roman"/>
              </w:rPr>
              <w:t xml:space="preserve"> и неустойки</w:t>
            </w:r>
            <w:r w:rsidRPr="005D626D">
              <w:rPr>
                <w:rFonts w:ascii="Times New Roman" w:hAnsi="Times New Roman" w:cs="Times New Roman"/>
              </w:rPr>
              <w:t>.</w:t>
            </w:r>
          </w:p>
          <w:p w:rsidR="00BB5FD7" w:rsidRPr="005D626D" w:rsidRDefault="00BB5FD7" w:rsidP="00BB5FD7">
            <w:pPr>
              <w:contextualSpacing/>
              <w:jc w:val="both"/>
              <w:rPr>
                <w:rFonts w:ascii="Times New Roman" w:hAnsi="Times New Roman" w:cs="Times New Roman"/>
                <w:u w:val="single"/>
              </w:rPr>
            </w:pPr>
            <w:r w:rsidRPr="005D626D">
              <w:rPr>
                <w:rFonts w:ascii="Times New Roman" w:hAnsi="Times New Roman" w:cs="Times New Roman"/>
                <w:u w:val="single"/>
              </w:rPr>
              <w:t>Фактические обстоятельства:</w:t>
            </w:r>
          </w:p>
          <w:p w:rsidR="009E3D70" w:rsidRPr="005D626D" w:rsidRDefault="00BB5FD7" w:rsidP="00BB5FD7">
            <w:pPr>
              <w:contextualSpacing/>
              <w:jc w:val="both"/>
              <w:rPr>
                <w:rFonts w:ascii="Times New Roman" w:hAnsi="Times New Roman" w:cs="Times New Roman"/>
              </w:rPr>
            </w:pPr>
            <w:r w:rsidRPr="005D626D">
              <w:rPr>
                <w:rFonts w:ascii="Times New Roman" w:hAnsi="Times New Roman" w:cs="Times New Roman"/>
              </w:rPr>
              <w:t xml:space="preserve">Между потребителем и страховой </w:t>
            </w:r>
            <w:r w:rsidR="00755CFD" w:rsidRPr="005D626D">
              <w:rPr>
                <w:rFonts w:ascii="Times New Roman" w:hAnsi="Times New Roman" w:cs="Times New Roman"/>
              </w:rPr>
              <w:t>организацией</w:t>
            </w:r>
            <w:r w:rsidRPr="005D626D">
              <w:rPr>
                <w:rFonts w:ascii="Times New Roman" w:hAnsi="Times New Roman" w:cs="Times New Roman"/>
              </w:rPr>
              <w:t xml:space="preserve"> в </w:t>
            </w:r>
            <w:r w:rsidR="009E3D70" w:rsidRPr="005D626D">
              <w:rPr>
                <w:rFonts w:ascii="Times New Roman" w:hAnsi="Times New Roman" w:cs="Times New Roman"/>
              </w:rPr>
              <w:t>2019</w:t>
            </w:r>
            <w:r w:rsidRPr="005D626D">
              <w:rPr>
                <w:rFonts w:ascii="Times New Roman" w:hAnsi="Times New Roman" w:cs="Times New Roman"/>
              </w:rPr>
              <w:t xml:space="preserve"> году заключен договор добровольного страхования жизни по программе «</w:t>
            </w:r>
            <w:r w:rsidR="009E3D70" w:rsidRPr="005D626D">
              <w:rPr>
                <w:rFonts w:ascii="Times New Roman" w:hAnsi="Times New Roman" w:cs="Times New Roman"/>
              </w:rPr>
              <w:t>Ю-инвестиции. Уверенный выбор</w:t>
            </w:r>
            <w:r w:rsidRPr="005D626D">
              <w:rPr>
                <w:rFonts w:ascii="Times New Roman" w:hAnsi="Times New Roman" w:cs="Times New Roman"/>
              </w:rPr>
              <w:t>».</w:t>
            </w:r>
            <w:r w:rsidR="009E3D70" w:rsidRPr="005D626D">
              <w:rPr>
                <w:rFonts w:ascii="Times New Roman" w:hAnsi="Times New Roman" w:cs="Times New Roman"/>
              </w:rPr>
              <w:t xml:space="preserve"> Одним из страховых рисков по договору страхования является «дожитие застрахованного до окончания срока действия договора страхования», при наступлении страхового случая по которому</w:t>
            </w:r>
            <w:r w:rsidRPr="005D626D">
              <w:rPr>
                <w:rFonts w:ascii="Times New Roman" w:hAnsi="Times New Roman" w:cs="Times New Roman"/>
              </w:rPr>
              <w:t xml:space="preserve"> </w:t>
            </w:r>
            <w:r w:rsidR="009E3D70" w:rsidRPr="005D626D">
              <w:rPr>
                <w:rFonts w:ascii="Times New Roman" w:hAnsi="Times New Roman" w:cs="Times New Roman"/>
              </w:rPr>
              <w:lastRenderedPageBreak/>
              <w:t>предусмотрена выплата</w:t>
            </w:r>
            <w:r w:rsidRPr="005D626D">
              <w:rPr>
                <w:rFonts w:ascii="Times New Roman" w:hAnsi="Times New Roman" w:cs="Times New Roman"/>
              </w:rPr>
              <w:t xml:space="preserve"> дополнительного инвестиционного дохода. </w:t>
            </w:r>
            <w:r w:rsidR="009E3D70" w:rsidRPr="005D626D">
              <w:rPr>
                <w:rFonts w:ascii="Times New Roman" w:hAnsi="Times New Roman" w:cs="Times New Roman"/>
              </w:rPr>
              <w:t>Также договор страхования содержит положения (раздел 11), наделяющие страховщика правом полностью или в течение определенного периода времени не начислять и не выплачивать дополнительный инвестиционный доход в связи с наступлением любого(-ых) из перечисленных в данном разделе обстоятельств, препятствующих владению, пользованию и распоряжению активами страховщика (в т. ч. обращению ценных бумаг), составляющих инвестиционную часть (ценные бумаги, приобретенные в состав страховых резервов).</w:t>
            </w:r>
          </w:p>
          <w:p w:rsidR="00BB5FD7" w:rsidRPr="005D626D" w:rsidRDefault="009E3D70" w:rsidP="00BB5FD7">
            <w:pPr>
              <w:contextualSpacing/>
              <w:jc w:val="both"/>
              <w:rPr>
                <w:rFonts w:ascii="Times New Roman" w:hAnsi="Times New Roman" w:cs="Times New Roman"/>
              </w:rPr>
            </w:pPr>
            <w:r w:rsidRPr="005D626D">
              <w:rPr>
                <w:rFonts w:ascii="Times New Roman" w:hAnsi="Times New Roman" w:cs="Times New Roman"/>
              </w:rPr>
              <w:t>Таким образом, договор страхования предусматривает право страховщика на односторонний отказ от исполнения обязательства по выплате дополнительного инвестиционного дохода</w:t>
            </w:r>
            <w:r w:rsidR="00BB5FD7" w:rsidRPr="005D626D">
              <w:rPr>
                <w:rFonts w:ascii="Times New Roman" w:hAnsi="Times New Roman" w:cs="Times New Roman"/>
              </w:rPr>
              <w:t>.</w:t>
            </w:r>
          </w:p>
          <w:p w:rsidR="00BB5FD7" w:rsidRPr="005D626D" w:rsidRDefault="00BB5FD7" w:rsidP="00BB5FD7">
            <w:pPr>
              <w:contextualSpacing/>
              <w:jc w:val="both"/>
              <w:rPr>
                <w:rFonts w:ascii="Times New Roman" w:hAnsi="Times New Roman" w:cs="Times New Roman"/>
                <w:u w:val="single"/>
              </w:rPr>
            </w:pPr>
            <w:r w:rsidRPr="005D626D">
              <w:rPr>
                <w:rFonts w:ascii="Times New Roman" w:hAnsi="Times New Roman" w:cs="Times New Roman"/>
                <w:u w:val="single"/>
              </w:rPr>
              <w:t>Суть неприемлемой практики:</w:t>
            </w:r>
          </w:p>
          <w:p w:rsidR="00BB5FD7" w:rsidRPr="005D626D" w:rsidRDefault="009E3D70" w:rsidP="009E3D70">
            <w:pPr>
              <w:contextualSpacing/>
              <w:jc w:val="both"/>
              <w:rPr>
                <w:rFonts w:ascii="Times New Roman" w:hAnsi="Times New Roman" w:cs="Times New Roman"/>
                <w:u w:val="single"/>
              </w:rPr>
            </w:pPr>
            <w:r w:rsidRPr="005D626D">
              <w:rPr>
                <w:rFonts w:ascii="Times New Roman" w:hAnsi="Times New Roman" w:cs="Times New Roman"/>
              </w:rPr>
              <w:t>Договором страхования предусмотрено право страховой организации на односторонний отказ от исполнения обязательства по выплате дополнительного инвестиционного дохода</w:t>
            </w:r>
            <w:r w:rsidR="00BB5FD7" w:rsidRPr="005D626D">
              <w:rPr>
                <w:rFonts w:ascii="Times New Roman" w:hAnsi="Times New Roman" w:cs="Times New Roman"/>
              </w:rPr>
              <w:t>.</w:t>
            </w:r>
          </w:p>
        </w:tc>
        <w:tc>
          <w:tcPr>
            <w:tcW w:w="2551" w:type="dxa"/>
          </w:tcPr>
          <w:p w:rsidR="00BB5FD7" w:rsidRPr="00755CFD" w:rsidRDefault="009E3D70" w:rsidP="00467F54">
            <w:pPr>
              <w:contextualSpacing/>
              <w:jc w:val="center"/>
              <w:rPr>
                <w:rFonts w:ascii="Times New Roman" w:hAnsi="Times New Roman" w:cs="Times New Roman"/>
                <w:sz w:val="24"/>
                <w:szCs w:val="24"/>
              </w:rPr>
            </w:pPr>
            <w:r w:rsidRPr="00755CFD">
              <w:rPr>
                <w:rFonts w:ascii="Times New Roman" w:hAnsi="Times New Roman" w:cs="Times New Roman"/>
                <w:sz w:val="24"/>
                <w:szCs w:val="24"/>
              </w:rPr>
              <w:lastRenderedPageBreak/>
              <w:t>АО «СК «Югория-Жизнь»</w:t>
            </w:r>
          </w:p>
          <w:p w:rsidR="00FF02DF" w:rsidRPr="00755CFD" w:rsidRDefault="00FF02DF" w:rsidP="00467F54">
            <w:pPr>
              <w:contextualSpacing/>
              <w:jc w:val="center"/>
              <w:rPr>
                <w:rFonts w:ascii="Times New Roman" w:hAnsi="Times New Roman" w:cs="Times New Roman"/>
                <w:sz w:val="24"/>
                <w:szCs w:val="24"/>
              </w:rPr>
            </w:pPr>
          </w:p>
        </w:tc>
      </w:tr>
      <w:tr w:rsidR="00BB5FD7" w:rsidRPr="00CC0732" w:rsidTr="000E38F6">
        <w:trPr>
          <w:jc w:val="center"/>
        </w:trPr>
        <w:tc>
          <w:tcPr>
            <w:tcW w:w="819" w:type="dxa"/>
            <w:vMerge/>
          </w:tcPr>
          <w:p w:rsidR="00BB5FD7" w:rsidRPr="00AC2FE8" w:rsidRDefault="00BB5FD7" w:rsidP="00227BF9">
            <w:pPr>
              <w:pStyle w:val="af2"/>
              <w:numPr>
                <w:ilvl w:val="0"/>
                <w:numId w:val="2"/>
              </w:numPr>
              <w:rPr>
                <w:rFonts w:ascii="Times New Roman" w:hAnsi="Times New Roman" w:cs="Times New Roman"/>
                <w:sz w:val="24"/>
                <w:szCs w:val="24"/>
                <w:highlight w:val="yellow"/>
              </w:rPr>
            </w:pPr>
          </w:p>
        </w:tc>
        <w:tc>
          <w:tcPr>
            <w:tcW w:w="2295" w:type="dxa"/>
            <w:vMerge/>
          </w:tcPr>
          <w:p w:rsidR="00BB5FD7" w:rsidRPr="00AC2FE8" w:rsidRDefault="00BB5FD7" w:rsidP="0069359F">
            <w:pPr>
              <w:contextualSpacing/>
              <w:jc w:val="center"/>
              <w:rPr>
                <w:rFonts w:ascii="Times New Roman" w:hAnsi="Times New Roman" w:cs="Times New Roman"/>
                <w:i/>
                <w:sz w:val="24"/>
                <w:szCs w:val="24"/>
                <w:highlight w:val="yellow"/>
              </w:rPr>
            </w:pPr>
          </w:p>
        </w:tc>
        <w:tc>
          <w:tcPr>
            <w:tcW w:w="7513" w:type="dxa"/>
          </w:tcPr>
          <w:p w:rsidR="009E3D70" w:rsidRPr="005D626D" w:rsidRDefault="00DB1A7F" w:rsidP="009E3D70">
            <w:pPr>
              <w:contextualSpacing/>
              <w:jc w:val="both"/>
              <w:rPr>
                <w:rFonts w:ascii="Times New Roman" w:hAnsi="Times New Roman" w:cs="Times New Roman"/>
                <w:u w:val="single"/>
              </w:rPr>
            </w:pPr>
            <w:r>
              <w:rPr>
                <w:rFonts w:ascii="Times New Roman" w:hAnsi="Times New Roman" w:cs="Times New Roman"/>
                <w:u w:val="single"/>
              </w:rPr>
              <w:t>12</w:t>
            </w:r>
            <w:r w:rsidR="008D2DBE" w:rsidRPr="005D626D">
              <w:rPr>
                <w:rFonts w:ascii="Times New Roman" w:hAnsi="Times New Roman" w:cs="Times New Roman"/>
                <w:u w:val="single"/>
              </w:rPr>
              <w:t>.2</w:t>
            </w:r>
            <w:r w:rsidR="009E3D70" w:rsidRPr="005D626D">
              <w:rPr>
                <w:rFonts w:ascii="Times New Roman" w:hAnsi="Times New Roman" w:cs="Times New Roman"/>
                <w:u w:val="single"/>
              </w:rPr>
              <w:t>. Требование потребителя финансовых услуг:</w:t>
            </w:r>
          </w:p>
          <w:p w:rsidR="009E3D70" w:rsidRPr="005D626D" w:rsidRDefault="009E3D70" w:rsidP="009E3D70">
            <w:pPr>
              <w:contextualSpacing/>
              <w:jc w:val="both"/>
              <w:rPr>
                <w:rFonts w:ascii="Times New Roman" w:hAnsi="Times New Roman" w:cs="Times New Roman"/>
              </w:rPr>
            </w:pPr>
            <w:r w:rsidRPr="005D626D">
              <w:rPr>
                <w:rFonts w:ascii="Times New Roman" w:hAnsi="Times New Roman" w:cs="Times New Roman"/>
              </w:rPr>
              <w:t xml:space="preserve">К финансовому уполномоченному обратился потребитель финансовых услуг </w:t>
            </w:r>
            <w:r w:rsidR="00090E3C" w:rsidRPr="005D626D">
              <w:rPr>
                <w:rFonts w:ascii="Times New Roman" w:hAnsi="Times New Roman" w:cs="Times New Roman"/>
              </w:rPr>
              <w:t>с требование</w:t>
            </w:r>
            <w:r w:rsidRPr="005D626D">
              <w:rPr>
                <w:rFonts w:ascii="Times New Roman" w:hAnsi="Times New Roman" w:cs="Times New Roman"/>
              </w:rPr>
              <w:t>м о взыскании дополнительного инвестиционного дохода по договору добровольного страхования жизни.</w:t>
            </w:r>
          </w:p>
          <w:p w:rsidR="009E3D70" w:rsidRPr="005D626D" w:rsidRDefault="009E3D70" w:rsidP="009E3D70">
            <w:pPr>
              <w:contextualSpacing/>
              <w:jc w:val="both"/>
              <w:rPr>
                <w:rFonts w:ascii="Times New Roman" w:hAnsi="Times New Roman" w:cs="Times New Roman"/>
                <w:u w:val="single"/>
              </w:rPr>
            </w:pPr>
            <w:r w:rsidRPr="005D626D">
              <w:rPr>
                <w:rFonts w:ascii="Times New Roman" w:hAnsi="Times New Roman" w:cs="Times New Roman"/>
                <w:u w:val="single"/>
              </w:rPr>
              <w:t>Фактические обстоятельства:</w:t>
            </w:r>
          </w:p>
          <w:p w:rsidR="00090E3C" w:rsidRPr="005D626D" w:rsidRDefault="009E3D70" w:rsidP="009E3D70">
            <w:pPr>
              <w:contextualSpacing/>
              <w:jc w:val="both"/>
              <w:rPr>
                <w:rFonts w:ascii="Times New Roman" w:hAnsi="Times New Roman" w:cs="Times New Roman"/>
              </w:rPr>
            </w:pPr>
            <w:r w:rsidRPr="005D626D">
              <w:rPr>
                <w:rFonts w:ascii="Times New Roman" w:hAnsi="Times New Roman" w:cs="Times New Roman"/>
              </w:rPr>
              <w:t xml:space="preserve">Между потребителем и страховой </w:t>
            </w:r>
            <w:r w:rsidR="005D626D">
              <w:rPr>
                <w:rFonts w:ascii="Times New Roman" w:hAnsi="Times New Roman" w:cs="Times New Roman"/>
              </w:rPr>
              <w:t>организацией</w:t>
            </w:r>
            <w:r w:rsidRPr="005D626D">
              <w:rPr>
                <w:rFonts w:ascii="Times New Roman" w:hAnsi="Times New Roman" w:cs="Times New Roman"/>
              </w:rPr>
              <w:t xml:space="preserve"> в </w:t>
            </w:r>
            <w:r w:rsidR="00090E3C" w:rsidRPr="005D626D">
              <w:rPr>
                <w:rFonts w:ascii="Times New Roman" w:hAnsi="Times New Roman" w:cs="Times New Roman"/>
              </w:rPr>
              <w:t>2018</w:t>
            </w:r>
            <w:r w:rsidRPr="005D626D">
              <w:rPr>
                <w:rFonts w:ascii="Times New Roman" w:hAnsi="Times New Roman" w:cs="Times New Roman"/>
              </w:rPr>
              <w:t xml:space="preserve"> году заключен договор добровольного страхования жизни по программе «</w:t>
            </w:r>
            <w:r w:rsidR="00090E3C" w:rsidRPr="005D626D">
              <w:rPr>
                <w:rFonts w:ascii="Times New Roman" w:hAnsi="Times New Roman" w:cs="Times New Roman"/>
              </w:rPr>
              <w:t>Смартполис</w:t>
            </w:r>
            <w:r w:rsidRPr="005D626D">
              <w:rPr>
                <w:rFonts w:ascii="Times New Roman" w:hAnsi="Times New Roman" w:cs="Times New Roman"/>
              </w:rPr>
              <w:t xml:space="preserve">». </w:t>
            </w:r>
            <w:r w:rsidR="00090E3C" w:rsidRPr="005D626D">
              <w:rPr>
                <w:rFonts w:ascii="Times New Roman" w:hAnsi="Times New Roman" w:cs="Times New Roman"/>
              </w:rPr>
              <w:t xml:space="preserve">Договор страхования заключен на основании правил страхования № 0019.СЖ.03.00 в редакции от 23.03.2016. </w:t>
            </w:r>
            <w:r w:rsidRPr="005D626D">
              <w:rPr>
                <w:rFonts w:ascii="Times New Roman" w:hAnsi="Times New Roman" w:cs="Times New Roman"/>
              </w:rPr>
              <w:t xml:space="preserve">Одним из страховых рисков по договору страхования является «дожитие застрахованного до </w:t>
            </w:r>
            <w:r w:rsidR="00090E3C" w:rsidRPr="005D626D">
              <w:rPr>
                <w:rFonts w:ascii="Times New Roman" w:hAnsi="Times New Roman" w:cs="Times New Roman"/>
              </w:rPr>
              <w:t>установленной даты</w:t>
            </w:r>
            <w:r w:rsidRPr="005D626D">
              <w:rPr>
                <w:rFonts w:ascii="Times New Roman" w:hAnsi="Times New Roman" w:cs="Times New Roman"/>
              </w:rPr>
              <w:t>», при наступлении страхового случая по которому предусмотрена выплата дополнительного инвестиционного дохода.</w:t>
            </w:r>
            <w:r w:rsidR="00090E3C" w:rsidRPr="005D626D">
              <w:rPr>
                <w:rFonts w:ascii="Times New Roman" w:hAnsi="Times New Roman" w:cs="Times New Roman"/>
              </w:rPr>
              <w:t xml:space="preserve"> </w:t>
            </w:r>
          </w:p>
          <w:p w:rsidR="008D2DBE" w:rsidRPr="005D626D" w:rsidRDefault="00090E3C" w:rsidP="008D2DBE">
            <w:pPr>
              <w:contextualSpacing/>
              <w:jc w:val="both"/>
              <w:rPr>
                <w:rFonts w:ascii="Times New Roman" w:hAnsi="Times New Roman" w:cs="Times New Roman"/>
              </w:rPr>
            </w:pPr>
            <w:r w:rsidRPr="005D626D">
              <w:rPr>
                <w:rFonts w:ascii="Times New Roman" w:hAnsi="Times New Roman" w:cs="Times New Roman"/>
              </w:rPr>
              <w:t xml:space="preserve">Правилами страхования </w:t>
            </w:r>
            <w:r w:rsidR="008D2DBE" w:rsidRPr="005D626D">
              <w:rPr>
                <w:rFonts w:ascii="Times New Roman" w:hAnsi="Times New Roman" w:cs="Times New Roman"/>
              </w:rPr>
              <w:t>(пункт 9.3) предусмотрено, что страховщик вправе полностью или в течение определенного периода времени не начислять и не выплачивать дополнительный инвестиционный дохо</w:t>
            </w:r>
            <w:r w:rsidR="005D626D" w:rsidRPr="005D626D">
              <w:rPr>
                <w:rFonts w:ascii="Times New Roman" w:hAnsi="Times New Roman" w:cs="Times New Roman"/>
              </w:rPr>
              <w:t>д в связи с наступлением любого</w:t>
            </w:r>
            <w:r w:rsidR="008D2DBE" w:rsidRPr="005D626D">
              <w:rPr>
                <w:rFonts w:ascii="Times New Roman" w:hAnsi="Times New Roman" w:cs="Times New Roman"/>
              </w:rPr>
              <w:t>(-ых) обстоятельств, перечисленных в данном пункте, препятствующих владению, пользованию и распоряжению активами страховщика (в том числе обращению ценных бумаг).</w:t>
            </w:r>
          </w:p>
          <w:p w:rsidR="009E3D70" w:rsidRPr="005D626D" w:rsidRDefault="009E3D70" w:rsidP="009E3D70">
            <w:pPr>
              <w:contextualSpacing/>
              <w:jc w:val="both"/>
              <w:rPr>
                <w:rFonts w:ascii="Times New Roman" w:hAnsi="Times New Roman" w:cs="Times New Roman"/>
              </w:rPr>
            </w:pPr>
            <w:r w:rsidRPr="005D626D">
              <w:rPr>
                <w:rFonts w:ascii="Times New Roman" w:hAnsi="Times New Roman" w:cs="Times New Roman"/>
              </w:rPr>
              <w:t xml:space="preserve">Таким образом, </w:t>
            </w:r>
            <w:r w:rsidR="008D2DBE" w:rsidRPr="005D626D">
              <w:rPr>
                <w:rFonts w:ascii="Times New Roman" w:hAnsi="Times New Roman" w:cs="Times New Roman"/>
              </w:rPr>
              <w:t>правила</w:t>
            </w:r>
            <w:r w:rsidRPr="005D626D">
              <w:rPr>
                <w:rFonts w:ascii="Times New Roman" w:hAnsi="Times New Roman" w:cs="Times New Roman"/>
              </w:rPr>
              <w:t xml:space="preserve"> страхования предусматрива</w:t>
            </w:r>
            <w:r w:rsidR="005D626D" w:rsidRPr="005D626D">
              <w:rPr>
                <w:rFonts w:ascii="Times New Roman" w:hAnsi="Times New Roman" w:cs="Times New Roman"/>
              </w:rPr>
              <w:t>ю</w:t>
            </w:r>
            <w:r w:rsidRPr="005D626D">
              <w:rPr>
                <w:rFonts w:ascii="Times New Roman" w:hAnsi="Times New Roman" w:cs="Times New Roman"/>
              </w:rPr>
              <w:t>т право страховщика на односторонний отказ от исполнения обязательства по выплате дополнительного инвестиционного дохода.</w:t>
            </w:r>
          </w:p>
          <w:p w:rsidR="009E3D70" w:rsidRPr="005D626D" w:rsidRDefault="009E3D70" w:rsidP="009E3D70">
            <w:pPr>
              <w:contextualSpacing/>
              <w:jc w:val="both"/>
              <w:rPr>
                <w:rFonts w:ascii="Times New Roman" w:hAnsi="Times New Roman" w:cs="Times New Roman"/>
                <w:u w:val="single"/>
              </w:rPr>
            </w:pPr>
            <w:r w:rsidRPr="005D626D">
              <w:rPr>
                <w:rFonts w:ascii="Times New Roman" w:hAnsi="Times New Roman" w:cs="Times New Roman"/>
                <w:u w:val="single"/>
              </w:rPr>
              <w:t>Суть неприемлемой практики:</w:t>
            </w:r>
          </w:p>
          <w:p w:rsidR="00BB5FD7" w:rsidRPr="005D626D" w:rsidRDefault="008D2DBE" w:rsidP="009E3D70">
            <w:pPr>
              <w:contextualSpacing/>
              <w:jc w:val="both"/>
              <w:rPr>
                <w:rFonts w:ascii="Times New Roman" w:hAnsi="Times New Roman" w:cs="Times New Roman"/>
                <w:u w:val="single"/>
              </w:rPr>
            </w:pPr>
            <w:r w:rsidRPr="005D626D">
              <w:rPr>
                <w:rFonts w:ascii="Times New Roman" w:hAnsi="Times New Roman" w:cs="Times New Roman"/>
              </w:rPr>
              <w:lastRenderedPageBreak/>
              <w:t>Правилами</w:t>
            </w:r>
            <w:r w:rsidR="009E3D70" w:rsidRPr="005D626D">
              <w:rPr>
                <w:rFonts w:ascii="Times New Roman" w:hAnsi="Times New Roman" w:cs="Times New Roman"/>
              </w:rPr>
              <w:t xml:space="preserve"> страхования предусмотрено право страховой организации на односторонний отказ от исполнения обязательства по выплате дополнительного инвестиционного дохода</w:t>
            </w:r>
            <w:r w:rsidR="005D626D" w:rsidRPr="005D626D">
              <w:rPr>
                <w:rFonts w:ascii="Times New Roman" w:hAnsi="Times New Roman" w:cs="Times New Roman"/>
              </w:rPr>
              <w:t>.</w:t>
            </w:r>
          </w:p>
        </w:tc>
        <w:tc>
          <w:tcPr>
            <w:tcW w:w="2551" w:type="dxa"/>
          </w:tcPr>
          <w:p w:rsidR="00BB5FD7" w:rsidRDefault="00BB5FD7" w:rsidP="00467F54">
            <w:pPr>
              <w:contextualSpacing/>
              <w:jc w:val="center"/>
              <w:rPr>
                <w:rFonts w:ascii="Times New Roman" w:hAnsi="Times New Roman" w:cs="Times New Roman"/>
                <w:sz w:val="24"/>
                <w:szCs w:val="24"/>
              </w:rPr>
            </w:pPr>
            <w:r w:rsidRPr="008D2DBE">
              <w:rPr>
                <w:rFonts w:ascii="Times New Roman" w:hAnsi="Times New Roman" w:cs="Times New Roman"/>
                <w:sz w:val="24"/>
                <w:szCs w:val="24"/>
              </w:rPr>
              <w:lastRenderedPageBreak/>
              <w:t>ООО СК «Сбербанк страхование жизни»</w:t>
            </w:r>
          </w:p>
          <w:p w:rsidR="00FF02DF" w:rsidRDefault="00FF02DF" w:rsidP="001B5A97">
            <w:pPr>
              <w:contextualSpacing/>
              <w:jc w:val="center"/>
              <w:rPr>
                <w:rFonts w:ascii="Times New Roman" w:hAnsi="Times New Roman" w:cs="Times New Roman"/>
                <w:sz w:val="24"/>
                <w:szCs w:val="24"/>
              </w:rPr>
            </w:pPr>
          </w:p>
        </w:tc>
      </w:tr>
      <w:tr w:rsidR="00BB5FD7" w:rsidRPr="00CC0732" w:rsidTr="000E38F6">
        <w:trPr>
          <w:jc w:val="center"/>
        </w:trPr>
        <w:tc>
          <w:tcPr>
            <w:tcW w:w="819" w:type="dxa"/>
          </w:tcPr>
          <w:p w:rsidR="00BB5FD7" w:rsidRPr="001F6984" w:rsidRDefault="00BB5FD7" w:rsidP="00227BF9">
            <w:pPr>
              <w:pStyle w:val="af2"/>
              <w:numPr>
                <w:ilvl w:val="0"/>
                <w:numId w:val="2"/>
              </w:numPr>
              <w:rPr>
                <w:rFonts w:ascii="Times New Roman" w:hAnsi="Times New Roman" w:cs="Times New Roman"/>
                <w:sz w:val="24"/>
                <w:szCs w:val="24"/>
              </w:rPr>
            </w:pPr>
          </w:p>
        </w:tc>
        <w:tc>
          <w:tcPr>
            <w:tcW w:w="2295" w:type="dxa"/>
          </w:tcPr>
          <w:p w:rsidR="00BB5FD7" w:rsidRPr="001F6984" w:rsidRDefault="00DF5000" w:rsidP="0069359F">
            <w:pPr>
              <w:contextualSpacing/>
              <w:jc w:val="center"/>
              <w:rPr>
                <w:rFonts w:ascii="Times New Roman" w:hAnsi="Times New Roman" w:cs="Times New Roman"/>
                <w:i/>
                <w:sz w:val="24"/>
                <w:szCs w:val="24"/>
              </w:rPr>
            </w:pPr>
            <w:r w:rsidRPr="001F6984">
              <w:rPr>
                <w:rFonts w:ascii="Times New Roman" w:hAnsi="Times New Roman" w:cs="Times New Roman"/>
                <w:i/>
                <w:sz w:val="24"/>
                <w:szCs w:val="24"/>
              </w:rPr>
              <w:t>Добровольное страхование жизни</w:t>
            </w:r>
          </w:p>
        </w:tc>
        <w:tc>
          <w:tcPr>
            <w:tcW w:w="7513" w:type="dxa"/>
          </w:tcPr>
          <w:p w:rsidR="003A16D4" w:rsidRPr="001F6984" w:rsidRDefault="003A16D4" w:rsidP="008D2DBE">
            <w:pPr>
              <w:contextualSpacing/>
              <w:jc w:val="both"/>
              <w:rPr>
                <w:rFonts w:ascii="Times New Roman" w:hAnsi="Times New Roman" w:cs="Times New Roman"/>
                <w:b/>
              </w:rPr>
            </w:pPr>
            <w:r w:rsidRPr="001F6984">
              <w:rPr>
                <w:rFonts w:ascii="Times New Roman" w:hAnsi="Times New Roman" w:cs="Times New Roman"/>
                <w:b/>
              </w:rPr>
              <w:t xml:space="preserve">Введение препятствий для получения </w:t>
            </w:r>
            <w:r w:rsidR="006A041B" w:rsidRPr="001F6984">
              <w:rPr>
                <w:rFonts w:ascii="Times New Roman" w:hAnsi="Times New Roman" w:cs="Times New Roman"/>
                <w:b/>
              </w:rPr>
              <w:t>дополнительного инвестиционного дохода</w:t>
            </w:r>
            <w:r w:rsidRPr="001F6984">
              <w:rPr>
                <w:rFonts w:ascii="Times New Roman" w:hAnsi="Times New Roman" w:cs="Times New Roman"/>
                <w:b/>
              </w:rPr>
              <w:t xml:space="preserve"> путем одностороннего изменения формы заявления</w:t>
            </w:r>
          </w:p>
          <w:p w:rsidR="008D2DBE" w:rsidRPr="001F6984" w:rsidRDefault="008D2DBE" w:rsidP="008D2DBE">
            <w:pPr>
              <w:contextualSpacing/>
              <w:jc w:val="both"/>
              <w:rPr>
                <w:rFonts w:ascii="Times New Roman" w:hAnsi="Times New Roman" w:cs="Times New Roman"/>
                <w:u w:val="single"/>
              </w:rPr>
            </w:pPr>
            <w:r w:rsidRPr="001F6984">
              <w:rPr>
                <w:rFonts w:ascii="Times New Roman" w:hAnsi="Times New Roman" w:cs="Times New Roman"/>
                <w:u w:val="single"/>
              </w:rPr>
              <w:t>Требование потребителя финансовых услуг:</w:t>
            </w:r>
          </w:p>
          <w:p w:rsidR="008D2DBE" w:rsidRPr="001F6984" w:rsidRDefault="008D2DBE" w:rsidP="008D2DBE">
            <w:pPr>
              <w:contextualSpacing/>
              <w:jc w:val="both"/>
              <w:rPr>
                <w:rFonts w:ascii="Times New Roman" w:hAnsi="Times New Roman" w:cs="Times New Roman"/>
              </w:rPr>
            </w:pPr>
            <w:r w:rsidRPr="001F6984">
              <w:rPr>
                <w:rFonts w:ascii="Times New Roman" w:hAnsi="Times New Roman" w:cs="Times New Roman"/>
              </w:rPr>
              <w:t>К финансовому уполномоченному обратился потребитель финансовых услуг с требованием о взыскании дополнительного инвестиционного дохода по договору добровольного страхования жизни.</w:t>
            </w:r>
          </w:p>
          <w:p w:rsidR="008D2DBE" w:rsidRPr="001F6984" w:rsidRDefault="008D2DBE" w:rsidP="008D2DBE">
            <w:pPr>
              <w:contextualSpacing/>
              <w:jc w:val="both"/>
              <w:rPr>
                <w:rFonts w:ascii="Times New Roman" w:hAnsi="Times New Roman" w:cs="Times New Roman"/>
                <w:u w:val="single"/>
              </w:rPr>
            </w:pPr>
            <w:r w:rsidRPr="001F6984">
              <w:rPr>
                <w:rFonts w:ascii="Times New Roman" w:hAnsi="Times New Roman" w:cs="Times New Roman"/>
                <w:u w:val="single"/>
              </w:rPr>
              <w:t>Фактические обстоятельства:</w:t>
            </w:r>
          </w:p>
          <w:p w:rsidR="008D2DBE" w:rsidRPr="001F6984" w:rsidRDefault="008D2DBE" w:rsidP="008D2DBE">
            <w:pPr>
              <w:contextualSpacing/>
              <w:jc w:val="both"/>
              <w:rPr>
                <w:rFonts w:ascii="Times New Roman" w:hAnsi="Times New Roman" w:cs="Times New Roman"/>
              </w:rPr>
            </w:pPr>
            <w:r w:rsidRPr="001F6984">
              <w:rPr>
                <w:rFonts w:ascii="Times New Roman" w:hAnsi="Times New Roman" w:cs="Times New Roman"/>
              </w:rPr>
              <w:t xml:space="preserve">Между потребителем и страховой компанией в 2016 году заключен договор добровольного страхования жизни по программе «Смартполис» со сроком действия 5 лет. Указанный договор предусматривает выплату дополнительного инвестиционного дохода при наступлении страхового случая по рискам «дожитие» или «смерть». Кроме того, правилами страхования страхователь наделен правом на досрочное получение инвестиционного дохода при соблюдении двух условий: </w:t>
            </w:r>
            <w:r w:rsidR="00A32F63" w:rsidRPr="001F6984">
              <w:rPr>
                <w:rFonts w:ascii="Times New Roman" w:hAnsi="Times New Roman" w:cs="Times New Roman"/>
              </w:rPr>
              <w:t>1. </w:t>
            </w:r>
            <w:r w:rsidRPr="001F6984">
              <w:rPr>
                <w:rFonts w:ascii="Times New Roman" w:hAnsi="Times New Roman" w:cs="Times New Roman"/>
              </w:rPr>
              <w:t>предъявление требования в виде заявления по форме, установленной страховщиком (если страхователь предъявил требование в иной форме, дополнительный инвестиционной доход не полагается к выплате);</w:t>
            </w:r>
            <w:r w:rsidR="00A32F63" w:rsidRPr="001F6984">
              <w:rPr>
                <w:rFonts w:ascii="Times New Roman" w:hAnsi="Times New Roman" w:cs="Times New Roman"/>
              </w:rPr>
              <w:t xml:space="preserve"> 2. </w:t>
            </w:r>
            <w:r w:rsidRPr="001F6984">
              <w:rPr>
                <w:rFonts w:ascii="Times New Roman" w:hAnsi="Times New Roman" w:cs="Times New Roman"/>
              </w:rPr>
              <w:t xml:space="preserve">по состоянию на дату расчета </w:t>
            </w:r>
            <w:r w:rsidR="00A32F63" w:rsidRPr="001F6984">
              <w:rPr>
                <w:rFonts w:ascii="Times New Roman" w:hAnsi="Times New Roman" w:cs="Times New Roman"/>
              </w:rPr>
              <w:t>инвестиционного дохода</w:t>
            </w:r>
            <w:r w:rsidRPr="001F6984">
              <w:rPr>
                <w:rFonts w:ascii="Times New Roman" w:hAnsi="Times New Roman" w:cs="Times New Roman"/>
              </w:rPr>
              <w:t xml:space="preserve"> его размер равен или превышает установленный лимит, установленный сторонами в отношении досрочной выплаты.</w:t>
            </w:r>
          </w:p>
          <w:p w:rsidR="008D2DBE" w:rsidRPr="001F6984" w:rsidRDefault="00A32F63" w:rsidP="00A32F63">
            <w:pPr>
              <w:contextualSpacing/>
              <w:jc w:val="both"/>
              <w:rPr>
                <w:rFonts w:ascii="Times New Roman" w:hAnsi="Times New Roman" w:cs="Times New Roman"/>
              </w:rPr>
            </w:pPr>
            <w:r w:rsidRPr="001F6984">
              <w:rPr>
                <w:rFonts w:ascii="Times New Roman" w:hAnsi="Times New Roman" w:cs="Times New Roman"/>
              </w:rPr>
              <w:t>Данный лимит установлен в пункте 8.2</w:t>
            </w:r>
            <w:r w:rsidR="007F7E83" w:rsidRPr="001F6984">
              <w:rPr>
                <w:rFonts w:ascii="Times New Roman" w:hAnsi="Times New Roman" w:cs="Times New Roman"/>
              </w:rPr>
              <w:t xml:space="preserve"> </w:t>
            </w:r>
            <w:r w:rsidRPr="001F6984">
              <w:rPr>
                <w:rFonts w:ascii="Times New Roman" w:hAnsi="Times New Roman" w:cs="Times New Roman"/>
              </w:rPr>
              <w:t xml:space="preserve">договора страхования, размер </w:t>
            </w:r>
            <w:r w:rsidR="006A041B" w:rsidRPr="001F6984">
              <w:rPr>
                <w:rFonts w:ascii="Times New Roman" w:hAnsi="Times New Roman" w:cs="Times New Roman"/>
              </w:rPr>
              <w:t>дополнительного инвестиционного дохода</w:t>
            </w:r>
            <w:r w:rsidRPr="001F6984">
              <w:rPr>
                <w:rFonts w:ascii="Times New Roman" w:hAnsi="Times New Roman" w:cs="Times New Roman"/>
              </w:rPr>
              <w:t xml:space="preserve"> в соответствии с инвестиционной декларацией, являющейся приложением к договору страхования, зависит от динамики базового актива (в данном случае биржевого фонда, лежащего в основе рискового фонда, выбранного страхователем при заключении договора, и, кроме того, являющегося базисным активом производного финансового инструмента, приобретенного страховщиком).</w:t>
            </w:r>
            <w:r w:rsidRPr="001F6984">
              <w:t xml:space="preserve"> </w:t>
            </w:r>
            <w:r w:rsidRPr="001F6984">
              <w:rPr>
                <w:rFonts w:ascii="Times New Roman" w:hAnsi="Times New Roman" w:cs="Times New Roman"/>
              </w:rPr>
              <w:t xml:space="preserve">Иных условий для досрочной выплаты </w:t>
            </w:r>
            <w:r w:rsidR="006A041B" w:rsidRPr="001F6984">
              <w:rPr>
                <w:rFonts w:ascii="Times New Roman" w:hAnsi="Times New Roman" w:cs="Times New Roman"/>
              </w:rPr>
              <w:t>дополнительного инвестиционного дохода</w:t>
            </w:r>
            <w:r w:rsidRPr="001F6984">
              <w:rPr>
                <w:rFonts w:ascii="Times New Roman" w:hAnsi="Times New Roman" w:cs="Times New Roman"/>
              </w:rPr>
              <w:t xml:space="preserve"> договор и правила страхования не </w:t>
            </w:r>
            <w:r w:rsidR="0028374C">
              <w:rPr>
                <w:rFonts w:ascii="Times New Roman" w:hAnsi="Times New Roman" w:cs="Times New Roman"/>
              </w:rPr>
              <w:t>предусматривают</w:t>
            </w:r>
            <w:r w:rsidRPr="001F6984">
              <w:rPr>
                <w:rFonts w:ascii="Times New Roman" w:hAnsi="Times New Roman" w:cs="Times New Roman"/>
              </w:rPr>
              <w:t>.</w:t>
            </w:r>
          </w:p>
          <w:p w:rsidR="00A32F63" w:rsidRPr="001F6984" w:rsidRDefault="00A32F63" w:rsidP="00A32F63">
            <w:pPr>
              <w:contextualSpacing/>
              <w:jc w:val="both"/>
              <w:rPr>
                <w:rFonts w:ascii="Times New Roman" w:hAnsi="Times New Roman" w:cs="Times New Roman"/>
              </w:rPr>
            </w:pPr>
            <w:r w:rsidRPr="001F6984">
              <w:rPr>
                <w:rFonts w:ascii="Times New Roman" w:hAnsi="Times New Roman" w:cs="Times New Roman"/>
              </w:rPr>
              <w:t>Заявителем неоднократно до 2021 года подавались заявления о досрочной выплате, в которых содержались следующие условия выплаты:</w:t>
            </w:r>
          </w:p>
          <w:p w:rsidR="00A32F63" w:rsidRPr="001F6984" w:rsidRDefault="00A32F63" w:rsidP="00A32F63">
            <w:pPr>
              <w:contextualSpacing/>
              <w:jc w:val="both"/>
              <w:rPr>
                <w:rFonts w:ascii="Times New Roman" w:hAnsi="Times New Roman" w:cs="Times New Roman"/>
              </w:rPr>
            </w:pPr>
            <w:r w:rsidRPr="001F6984">
              <w:rPr>
                <w:rFonts w:ascii="Times New Roman" w:hAnsi="Times New Roman" w:cs="Times New Roman"/>
              </w:rPr>
              <w:t xml:space="preserve">- заявление должно быть получено страховщиком не позднее чем за 5 рабочих дней до выбранной даты выплаты </w:t>
            </w:r>
            <w:r w:rsidR="006A041B" w:rsidRPr="001F6984">
              <w:rPr>
                <w:rFonts w:ascii="Times New Roman" w:hAnsi="Times New Roman" w:cs="Times New Roman"/>
              </w:rPr>
              <w:t>дополнительного инвестиционного дохода</w:t>
            </w:r>
            <w:r w:rsidRPr="001F6984">
              <w:rPr>
                <w:rFonts w:ascii="Times New Roman" w:hAnsi="Times New Roman" w:cs="Times New Roman"/>
              </w:rPr>
              <w:t>;</w:t>
            </w:r>
          </w:p>
          <w:p w:rsidR="008D2DBE" w:rsidRPr="001F6984" w:rsidRDefault="00A32F63" w:rsidP="00A32F63">
            <w:pPr>
              <w:contextualSpacing/>
              <w:jc w:val="both"/>
              <w:rPr>
                <w:rFonts w:ascii="Times New Roman" w:hAnsi="Times New Roman" w:cs="Times New Roman"/>
              </w:rPr>
            </w:pPr>
            <w:r w:rsidRPr="001F6984">
              <w:rPr>
                <w:rFonts w:ascii="Times New Roman" w:hAnsi="Times New Roman" w:cs="Times New Roman"/>
              </w:rPr>
              <w:t>- по состоянию на дату расчета инвестиционного дохода его размер равен или превышает лимит, установленный договором страхования.</w:t>
            </w:r>
          </w:p>
          <w:p w:rsidR="00A32F63" w:rsidRPr="001F6984" w:rsidRDefault="00A32F63" w:rsidP="00A32F63">
            <w:pPr>
              <w:contextualSpacing/>
              <w:jc w:val="both"/>
              <w:rPr>
                <w:rFonts w:ascii="Times New Roman" w:hAnsi="Times New Roman" w:cs="Times New Roman"/>
              </w:rPr>
            </w:pPr>
            <w:r w:rsidRPr="001F6984">
              <w:rPr>
                <w:rFonts w:ascii="Times New Roman" w:hAnsi="Times New Roman" w:cs="Times New Roman"/>
              </w:rPr>
              <w:t xml:space="preserve">В 2021 ООО «СК «Сбербанк страхование жизни» изменена форма заявления о досрочной выплате дополнительного инвестиционного дохода, в него </w:t>
            </w:r>
            <w:r w:rsidRPr="001F6984">
              <w:rPr>
                <w:rFonts w:ascii="Times New Roman" w:hAnsi="Times New Roman" w:cs="Times New Roman"/>
              </w:rPr>
              <w:lastRenderedPageBreak/>
              <w:t>включено новое договорное условие, которым досрочная выплата поставлена в зависимость не только от положительной динамикой базового актива (то есть актива, лежащего в основе фонда, выбранного страхователем при заключении договора), но и стоимости производного финансового инструмента, приобретенного страховщиком.</w:t>
            </w:r>
          </w:p>
          <w:p w:rsidR="008D2DBE" w:rsidRPr="001F6984" w:rsidRDefault="008D2DBE" w:rsidP="008D2DBE">
            <w:pPr>
              <w:contextualSpacing/>
              <w:jc w:val="both"/>
              <w:rPr>
                <w:rFonts w:ascii="Times New Roman" w:hAnsi="Times New Roman" w:cs="Times New Roman"/>
                <w:u w:val="single"/>
              </w:rPr>
            </w:pPr>
            <w:r w:rsidRPr="001F6984">
              <w:rPr>
                <w:rFonts w:ascii="Times New Roman" w:hAnsi="Times New Roman" w:cs="Times New Roman"/>
                <w:u w:val="single"/>
              </w:rPr>
              <w:t>Суть неприемлемой практики:</w:t>
            </w:r>
          </w:p>
          <w:p w:rsidR="00BB5FD7" w:rsidRPr="001F6984" w:rsidRDefault="00A32F63" w:rsidP="008D2DBE">
            <w:pPr>
              <w:contextualSpacing/>
              <w:jc w:val="both"/>
              <w:rPr>
                <w:rFonts w:ascii="Times New Roman" w:hAnsi="Times New Roman" w:cs="Times New Roman"/>
                <w:u w:val="single"/>
              </w:rPr>
            </w:pPr>
            <w:r w:rsidRPr="001F6984">
              <w:rPr>
                <w:rFonts w:ascii="Times New Roman" w:hAnsi="Times New Roman" w:cs="Times New Roman"/>
              </w:rPr>
              <w:t>Введение страховщиком нового ограничительного условия для получения потребителем финансовых услуг выплаты дополнительного инвестиционного дохода путем одностороннего изменения формы заявления, обязательной для потребителя</w:t>
            </w:r>
            <w:r w:rsidR="008D2DBE" w:rsidRPr="001F6984">
              <w:rPr>
                <w:rFonts w:ascii="Times New Roman" w:hAnsi="Times New Roman" w:cs="Times New Roman"/>
              </w:rPr>
              <w:t>.</w:t>
            </w:r>
          </w:p>
        </w:tc>
        <w:tc>
          <w:tcPr>
            <w:tcW w:w="2551" w:type="dxa"/>
          </w:tcPr>
          <w:p w:rsidR="00BB5FD7" w:rsidRDefault="008D2DBE" w:rsidP="00467F54">
            <w:pPr>
              <w:contextualSpacing/>
              <w:jc w:val="center"/>
              <w:rPr>
                <w:rFonts w:ascii="Times New Roman" w:hAnsi="Times New Roman" w:cs="Times New Roman"/>
                <w:sz w:val="24"/>
                <w:szCs w:val="24"/>
              </w:rPr>
            </w:pPr>
            <w:r w:rsidRPr="008D2DBE">
              <w:rPr>
                <w:rFonts w:ascii="Times New Roman" w:hAnsi="Times New Roman" w:cs="Times New Roman"/>
                <w:sz w:val="24"/>
                <w:szCs w:val="24"/>
              </w:rPr>
              <w:lastRenderedPageBreak/>
              <w:t>ООО «СК «Сбербанк страхование жизни»</w:t>
            </w:r>
          </w:p>
          <w:p w:rsidR="00FF02DF" w:rsidRDefault="00FF02DF" w:rsidP="001B5A97">
            <w:pPr>
              <w:contextualSpacing/>
              <w:jc w:val="center"/>
              <w:rPr>
                <w:rFonts w:ascii="Times New Roman" w:hAnsi="Times New Roman" w:cs="Times New Roman"/>
                <w:sz w:val="24"/>
                <w:szCs w:val="24"/>
              </w:rPr>
            </w:pPr>
          </w:p>
        </w:tc>
      </w:tr>
    </w:tbl>
    <w:p w:rsidR="00CC0732" w:rsidRPr="00905E03" w:rsidRDefault="00CC0732" w:rsidP="007F18EB">
      <w:pPr>
        <w:tabs>
          <w:tab w:val="left" w:pos="1508"/>
        </w:tabs>
        <w:rPr>
          <w:rFonts w:ascii="Times New Roman" w:hAnsi="Times New Roman" w:cs="Times New Roman"/>
          <w:sz w:val="2"/>
          <w:szCs w:val="2"/>
        </w:rPr>
      </w:pPr>
    </w:p>
    <w:sectPr w:rsidR="00CC0732" w:rsidRPr="00905E03" w:rsidSect="00177426">
      <w:headerReference w:type="default" r:id="rId8"/>
      <w:type w:val="continuous"/>
      <w:pgSz w:w="16838" w:h="11906" w:orient="landscape" w:code="9"/>
      <w:pgMar w:top="1134" w:right="1134"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62" w:rsidRDefault="008E5162" w:rsidP="002E27CB">
      <w:pPr>
        <w:spacing w:after="0" w:line="240" w:lineRule="auto"/>
      </w:pPr>
      <w:r>
        <w:separator/>
      </w:r>
    </w:p>
  </w:endnote>
  <w:endnote w:type="continuationSeparator" w:id="0">
    <w:p w:rsidR="008E5162" w:rsidRDefault="008E5162" w:rsidP="002E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62" w:rsidRDefault="008E5162" w:rsidP="002E27CB">
      <w:pPr>
        <w:spacing w:after="0" w:line="240" w:lineRule="auto"/>
      </w:pPr>
      <w:r>
        <w:separator/>
      </w:r>
    </w:p>
  </w:footnote>
  <w:footnote w:type="continuationSeparator" w:id="0">
    <w:p w:rsidR="008E5162" w:rsidRDefault="008E5162" w:rsidP="002E2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967612"/>
      <w:docPartObj>
        <w:docPartGallery w:val="Page Numbers (Top of Page)"/>
        <w:docPartUnique/>
      </w:docPartObj>
    </w:sdtPr>
    <w:sdtEndPr>
      <w:rPr>
        <w:rFonts w:ascii="Times New Roman" w:hAnsi="Times New Roman" w:cs="Times New Roman"/>
      </w:rPr>
    </w:sdtEndPr>
    <w:sdtContent>
      <w:p w:rsidR="008D2DBE" w:rsidRPr="001E6F6B" w:rsidRDefault="008D2DBE">
        <w:pPr>
          <w:pStyle w:val="ae"/>
          <w:jc w:val="center"/>
          <w:rPr>
            <w:rFonts w:ascii="Times New Roman" w:hAnsi="Times New Roman" w:cs="Times New Roman"/>
          </w:rPr>
        </w:pPr>
        <w:r w:rsidRPr="001E6F6B">
          <w:rPr>
            <w:rFonts w:ascii="Times New Roman" w:hAnsi="Times New Roman" w:cs="Times New Roman"/>
          </w:rPr>
          <w:fldChar w:fldCharType="begin"/>
        </w:r>
        <w:r w:rsidRPr="001E6F6B">
          <w:rPr>
            <w:rFonts w:ascii="Times New Roman" w:hAnsi="Times New Roman" w:cs="Times New Roman"/>
          </w:rPr>
          <w:instrText>PAGE   \* MERGEFORMAT</w:instrText>
        </w:r>
        <w:r w:rsidRPr="001E6F6B">
          <w:rPr>
            <w:rFonts w:ascii="Times New Roman" w:hAnsi="Times New Roman" w:cs="Times New Roman"/>
          </w:rPr>
          <w:fldChar w:fldCharType="separate"/>
        </w:r>
        <w:r w:rsidR="0032014A">
          <w:rPr>
            <w:rFonts w:ascii="Times New Roman" w:hAnsi="Times New Roman" w:cs="Times New Roman"/>
            <w:noProof/>
          </w:rPr>
          <w:t>2</w:t>
        </w:r>
        <w:r w:rsidRPr="001E6F6B">
          <w:rPr>
            <w:rFonts w:ascii="Times New Roman" w:hAnsi="Times New Roman" w:cs="Times New Roman"/>
          </w:rPr>
          <w:fldChar w:fldCharType="end"/>
        </w:r>
      </w:p>
    </w:sdtContent>
  </w:sdt>
  <w:p w:rsidR="008D2DBE" w:rsidRDefault="008D2DB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769"/>
    <w:multiLevelType w:val="hybridMultilevel"/>
    <w:tmpl w:val="F1A6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E2960"/>
    <w:multiLevelType w:val="hybridMultilevel"/>
    <w:tmpl w:val="8F9CD9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46048"/>
    <w:multiLevelType w:val="hybridMultilevel"/>
    <w:tmpl w:val="E80238E6"/>
    <w:lvl w:ilvl="0" w:tplc="A670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A01DD3"/>
    <w:multiLevelType w:val="hybridMultilevel"/>
    <w:tmpl w:val="55FCF4EA"/>
    <w:lvl w:ilvl="0" w:tplc="45D0C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BC1450C"/>
    <w:multiLevelType w:val="hybridMultilevel"/>
    <w:tmpl w:val="871E2222"/>
    <w:lvl w:ilvl="0" w:tplc="33A0005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52"/>
    <w:rsid w:val="00001424"/>
    <w:rsid w:val="000223CF"/>
    <w:rsid w:val="000259C8"/>
    <w:rsid w:val="00031985"/>
    <w:rsid w:val="00032490"/>
    <w:rsid w:val="00036B35"/>
    <w:rsid w:val="00041B0B"/>
    <w:rsid w:val="0004422C"/>
    <w:rsid w:val="00055758"/>
    <w:rsid w:val="00056414"/>
    <w:rsid w:val="00064B5C"/>
    <w:rsid w:val="00065061"/>
    <w:rsid w:val="00065E7E"/>
    <w:rsid w:val="0006638A"/>
    <w:rsid w:val="000666F8"/>
    <w:rsid w:val="000676B8"/>
    <w:rsid w:val="0007048D"/>
    <w:rsid w:val="000704E7"/>
    <w:rsid w:val="00071C7D"/>
    <w:rsid w:val="0007752D"/>
    <w:rsid w:val="00090A1D"/>
    <w:rsid w:val="00090E3C"/>
    <w:rsid w:val="000972DA"/>
    <w:rsid w:val="000A0E9B"/>
    <w:rsid w:val="000A2E57"/>
    <w:rsid w:val="000A32C4"/>
    <w:rsid w:val="000A5DB0"/>
    <w:rsid w:val="000A70C2"/>
    <w:rsid w:val="000A784E"/>
    <w:rsid w:val="000A7C39"/>
    <w:rsid w:val="000B099A"/>
    <w:rsid w:val="000B1AAE"/>
    <w:rsid w:val="000B75C2"/>
    <w:rsid w:val="000C0E8E"/>
    <w:rsid w:val="000C1034"/>
    <w:rsid w:val="000C3EBF"/>
    <w:rsid w:val="000C41FD"/>
    <w:rsid w:val="000C599C"/>
    <w:rsid w:val="000C5AD4"/>
    <w:rsid w:val="000C79B2"/>
    <w:rsid w:val="000D058D"/>
    <w:rsid w:val="000D1B26"/>
    <w:rsid w:val="000D1BC6"/>
    <w:rsid w:val="000D2A92"/>
    <w:rsid w:val="000D3DD0"/>
    <w:rsid w:val="000D6B29"/>
    <w:rsid w:val="000D76AC"/>
    <w:rsid w:val="000E136E"/>
    <w:rsid w:val="000E38F6"/>
    <w:rsid w:val="000E6C59"/>
    <w:rsid w:val="000F5D28"/>
    <w:rsid w:val="000F71EC"/>
    <w:rsid w:val="00105031"/>
    <w:rsid w:val="001069D9"/>
    <w:rsid w:val="00107A42"/>
    <w:rsid w:val="00112091"/>
    <w:rsid w:val="00114461"/>
    <w:rsid w:val="00114714"/>
    <w:rsid w:val="001214DD"/>
    <w:rsid w:val="00121B2E"/>
    <w:rsid w:val="001236D1"/>
    <w:rsid w:val="00130EB3"/>
    <w:rsid w:val="00134244"/>
    <w:rsid w:val="00134A4A"/>
    <w:rsid w:val="001365B5"/>
    <w:rsid w:val="00137BA2"/>
    <w:rsid w:val="00141E4B"/>
    <w:rsid w:val="001464F4"/>
    <w:rsid w:val="0015087B"/>
    <w:rsid w:val="0015127D"/>
    <w:rsid w:val="001512FC"/>
    <w:rsid w:val="00152436"/>
    <w:rsid w:val="0015492B"/>
    <w:rsid w:val="00156403"/>
    <w:rsid w:val="0015700D"/>
    <w:rsid w:val="00160054"/>
    <w:rsid w:val="001607DD"/>
    <w:rsid w:val="00161226"/>
    <w:rsid w:val="00162FB8"/>
    <w:rsid w:val="00163A5D"/>
    <w:rsid w:val="00166155"/>
    <w:rsid w:val="00167328"/>
    <w:rsid w:val="001676AB"/>
    <w:rsid w:val="001754B8"/>
    <w:rsid w:val="00176FAB"/>
    <w:rsid w:val="00177426"/>
    <w:rsid w:val="00177F12"/>
    <w:rsid w:val="001806AB"/>
    <w:rsid w:val="00181437"/>
    <w:rsid w:val="0018281B"/>
    <w:rsid w:val="00183885"/>
    <w:rsid w:val="00185388"/>
    <w:rsid w:val="00185BAE"/>
    <w:rsid w:val="00187C23"/>
    <w:rsid w:val="0019026D"/>
    <w:rsid w:val="00194D7E"/>
    <w:rsid w:val="001973F8"/>
    <w:rsid w:val="001A331E"/>
    <w:rsid w:val="001A40DD"/>
    <w:rsid w:val="001A4700"/>
    <w:rsid w:val="001A5371"/>
    <w:rsid w:val="001A59E6"/>
    <w:rsid w:val="001B0D10"/>
    <w:rsid w:val="001B25F1"/>
    <w:rsid w:val="001B5A97"/>
    <w:rsid w:val="001B730E"/>
    <w:rsid w:val="001B7826"/>
    <w:rsid w:val="001C069D"/>
    <w:rsid w:val="001C5898"/>
    <w:rsid w:val="001C5985"/>
    <w:rsid w:val="001D0477"/>
    <w:rsid w:val="001D0F2F"/>
    <w:rsid w:val="001D55BB"/>
    <w:rsid w:val="001E0C68"/>
    <w:rsid w:val="001E12E8"/>
    <w:rsid w:val="001E2096"/>
    <w:rsid w:val="001E2321"/>
    <w:rsid w:val="001E3368"/>
    <w:rsid w:val="001E4886"/>
    <w:rsid w:val="001E5C92"/>
    <w:rsid w:val="001E6F6B"/>
    <w:rsid w:val="001F1A94"/>
    <w:rsid w:val="001F3628"/>
    <w:rsid w:val="001F6984"/>
    <w:rsid w:val="001F7602"/>
    <w:rsid w:val="002010E7"/>
    <w:rsid w:val="00203142"/>
    <w:rsid w:val="002033C4"/>
    <w:rsid w:val="002044F7"/>
    <w:rsid w:val="002058E7"/>
    <w:rsid w:val="002063BE"/>
    <w:rsid w:val="00212A46"/>
    <w:rsid w:val="0021722A"/>
    <w:rsid w:val="002172E3"/>
    <w:rsid w:val="002174EF"/>
    <w:rsid w:val="00222121"/>
    <w:rsid w:val="00222D0C"/>
    <w:rsid w:val="00227BF9"/>
    <w:rsid w:val="0023388B"/>
    <w:rsid w:val="00233A3E"/>
    <w:rsid w:val="00234AF9"/>
    <w:rsid w:val="002350E9"/>
    <w:rsid w:val="00240431"/>
    <w:rsid w:val="002410CB"/>
    <w:rsid w:val="002436B7"/>
    <w:rsid w:val="00247398"/>
    <w:rsid w:val="002473D6"/>
    <w:rsid w:val="0025015F"/>
    <w:rsid w:val="00255D2F"/>
    <w:rsid w:val="00261253"/>
    <w:rsid w:val="00261D4E"/>
    <w:rsid w:val="00263556"/>
    <w:rsid w:val="0026364D"/>
    <w:rsid w:val="00264777"/>
    <w:rsid w:val="00265D9C"/>
    <w:rsid w:val="002665DB"/>
    <w:rsid w:val="00266F51"/>
    <w:rsid w:val="00267B05"/>
    <w:rsid w:val="0027119D"/>
    <w:rsid w:val="002722D3"/>
    <w:rsid w:val="0027335A"/>
    <w:rsid w:val="0027363D"/>
    <w:rsid w:val="0027488A"/>
    <w:rsid w:val="00275041"/>
    <w:rsid w:val="00276429"/>
    <w:rsid w:val="0028374C"/>
    <w:rsid w:val="00291ABB"/>
    <w:rsid w:val="00291FCB"/>
    <w:rsid w:val="00294954"/>
    <w:rsid w:val="00294DC6"/>
    <w:rsid w:val="0029684F"/>
    <w:rsid w:val="002A4B75"/>
    <w:rsid w:val="002A6D97"/>
    <w:rsid w:val="002B2771"/>
    <w:rsid w:val="002B3854"/>
    <w:rsid w:val="002B4374"/>
    <w:rsid w:val="002B65FA"/>
    <w:rsid w:val="002C357B"/>
    <w:rsid w:val="002D2B1A"/>
    <w:rsid w:val="002D3E52"/>
    <w:rsid w:val="002D5995"/>
    <w:rsid w:val="002D6468"/>
    <w:rsid w:val="002D6ED8"/>
    <w:rsid w:val="002E27CB"/>
    <w:rsid w:val="002E2C07"/>
    <w:rsid w:val="002E305E"/>
    <w:rsid w:val="002E53A4"/>
    <w:rsid w:val="002E7B2C"/>
    <w:rsid w:val="002F2D1D"/>
    <w:rsid w:val="002F3F08"/>
    <w:rsid w:val="002F58F6"/>
    <w:rsid w:val="002F75E4"/>
    <w:rsid w:val="003001FF"/>
    <w:rsid w:val="003034C7"/>
    <w:rsid w:val="00307EE9"/>
    <w:rsid w:val="00310303"/>
    <w:rsid w:val="0031365A"/>
    <w:rsid w:val="00315F83"/>
    <w:rsid w:val="00317728"/>
    <w:rsid w:val="00317C4C"/>
    <w:rsid w:val="0032014A"/>
    <w:rsid w:val="00320281"/>
    <w:rsid w:val="0032067C"/>
    <w:rsid w:val="00322B0D"/>
    <w:rsid w:val="0032432D"/>
    <w:rsid w:val="00325BD7"/>
    <w:rsid w:val="003318DA"/>
    <w:rsid w:val="003319D5"/>
    <w:rsid w:val="00331AB9"/>
    <w:rsid w:val="003324CF"/>
    <w:rsid w:val="00334E22"/>
    <w:rsid w:val="00336EA8"/>
    <w:rsid w:val="003400CA"/>
    <w:rsid w:val="0034241A"/>
    <w:rsid w:val="0034365C"/>
    <w:rsid w:val="00344192"/>
    <w:rsid w:val="00346C1C"/>
    <w:rsid w:val="003523BE"/>
    <w:rsid w:val="0035405B"/>
    <w:rsid w:val="00355279"/>
    <w:rsid w:val="00357F61"/>
    <w:rsid w:val="003631BC"/>
    <w:rsid w:val="00370495"/>
    <w:rsid w:val="00372700"/>
    <w:rsid w:val="003741EC"/>
    <w:rsid w:val="003751C1"/>
    <w:rsid w:val="0037653F"/>
    <w:rsid w:val="00380313"/>
    <w:rsid w:val="00380F5A"/>
    <w:rsid w:val="00396E96"/>
    <w:rsid w:val="003A16D4"/>
    <w:rsid w:val="003A1749"/>
    <w:rsid w:val="003A29FB"/>
    <w:rsid w:val="003A3079"/>
    <w:rsid w:val="003A4F7A"/>
    <w:rsid w:val="003B0760"/>
    <w:rsid w:val="003B1585"/>
    <w:rsid w:val="003B49EA"/>
    <w:rsid w:val="003B4BB7"/>
    <w:rsid w:val="003B79D8"/>
    <w:rsid w:val="003C0C3A"/>
    <w:rsid w:val="003C149A"/>
    <w:rsid w:val="003C4A0A"/>
    <w:rsid w:val="003D124C"/>
    <w:rsid w:val="003D2B57"/>
    <w:rsid w:val="003D4809"/>
    <w:rsid w:val="003D5288"/>
    <w:rsid w:val="003D5E4D"/>
    <w:rsid w:val="003E0E3C"/>
    <w:rsid w:val="003E191A"/>
    <w:rsid w:val="003E2E50"/>
    <w:rsid w:val="003E36D5"/>
    <w:rsid w:val="003E3E19"/>
    <w:rsid w:val="003F1D12"/>
    <w:rsid w:val="003F62C3"/>
    <w:rsid w:val="003F6AD3"/>
    <w:rsid w:val="0040131F"/>
    <w:rsid w:val="004033B8"/>
    <w:rsid w:val="00403955"/>
    <w:rsid w:val="00403A00"/>
    <w:rsid w:val="00403CA2"/>
    <w:rsid w:val="00403D6D"/>
    <w:rsid w:val="00406A7A"/>
    <w:rsid w:val="00411844"/>
    <w:rsid w:val="004156AC"/>
    <w:rsid w:val="00421FFF"/>
    <w:rsid w:val="004264C0"/>
    <w:rsid w:val="00427D1D"/>
    <w:rsid w:val="0043148C"/>
    <w:rsid w:val="004316FF"/>
    <w:rsid w:val="00432207"/>
    <w:rsid w:val="0043500F"/>
    <w:rsid w:val="00442545"/>
    <w:rsid w:val="0044309F"/>
    <w:rsid w:val="00443365"/>
    <w:rsid w:val="00446A56"/>
    <w:rsid w:val="00447B68"/>
    <w:rsid w:val="00450887"/>
    <w:rsid w:val="00450A83"/>
    <w:rsid w:val="0045314A"/>
    <w:rsid w:val="004546B9"/>
    <w:rsid w:val="00454B06"/>
    <w:rsid w:val="00456EA5"/>
    <w:rsid w:val="00460369"/>
    <w:rsid w:val="004613AF"/>
    <w:rsid w:val="0046552B"/>
    <w:rsid w:val="00465E49"/>
    <w:rsid w:val="00467F54"/>
    <w:rsid w:val="00472D39"/>
    <w:rsid w:val="00475600"/>
    <w:rsid w:val="004766C9"/>
    <w:rsid w:val="00476FE5"/>
    <w:rsid w:val="00477828"/>
    <w:rsid w:val="00481120"/>
    <w:rsid w:val="00482E64"/>
    <w:rsid w:val="00486B76"/>
    <w:rsid w:val="00490F91"/>
    <w:rsid w:val="00491EB0"/>
    <w:rsid w:val="00494DBD"/>
    <w:rsid w:val="00495D58"/>
    <w:rsid w:val="00496BEB"/>
    <w:rsid w:val="00496EC1"/>
    <w:rsid w:val="004970BC"/>
    <w:rsid w:val="004A1BD7"/>
    <w:rsid w:val="004A39AF"/>
    <w:rsid w:val="004A562F"/>
    <w:rsid w:val="004B0DD5"/>
    <w:rsid w:val="004B3B42"/>
    <w:rsid w:val="004B497F"/>
    <w:rsid w:val="004B4B7B"/>
    <w:rsid w:val="004B58C4"/>
    <w:rsid w:val="004B631B"/>
    <w:rsid w:val="004B727C"/>
    <w:rsid w:val="004B755B"/>
    <w:rsid w:val="004C0CAB"/>
    <w:rsid w:val="004C0FB2"/>
    <w:rsid w:val="004C253A"/>
    <w:rsid w:val="004D0A31"/>
    <w:rsid w:val="004D0EF0"/>
    <w:rsid w:val="004D4165"/>
    <w:rsid w:val="004E40AC"/>
    <w:rsid w:val="004E63A8"/>
    <w:rsid w:val="004F2C5E"/>
    <w:rsid w:val="004F5F9D"/>
    <w:rsid w:val="00504CFE"/>
    <w:rsid w:val="005053F1"/>
    <w:rsid w:val="00514489"/>
    <w:rsid w:val="005161EA"/>
    <w:rsid w:val="0052050C"/>
    <w:rsid w:val="00522092"/>
    <w:rsid w:val="00522749"/>
    <w:rsid w:val="00525328"/>
    <w:rsid w:val="00531AD4"/>
    <w:rsid w:val="0053299D"/>
    <w:rsid w:val="00532EC8"/>
    <w:rsid w:val="00536536"/>
    <w:rsid w:val="005411F1"/>
    <w:rsid w:val="00541C67"/>
    <w:rsid w:val="00543C12"/>
    <w:rsid w:val="0054606A"/>
    <w:rsid w:val="00547B64"/>
    <w:rsid w:val="0055003E"/>
    <w:rsid w:val="00553AA4"/>
    <w:rsid w:val="00555393"/>
    <w:rsid w:val="00561190"/>
    <w:rsid w:val="0056162F"/>
    <w:rsid w:val="00562C6E"/>
    <w:rsid w:val="00564FB2"/>
    <w:rsid w:val="005653D8"/>
    <w:rsid w:val="00565D51"/>
    <w:rsid w:val="00566182"/>
    <w:rsid w:val="00566903"/>
    <w:rsid w:val="00567F72"/>
    <w:rsid w:val="005706DA"/>
    <w:rsid w:val="00574B6E"/>
    <w:rsid w:val="0057546A"/>
    <w:rsid w:val="00575F2E"/>
    <w:rsid w:val="00576859"/>
    <w:rsid w:val="00576D8B"/>
    <w:rsid w:val="00584240"/>
    <w:rsid w:val="00586402"/>
    <w:rsid w:val="00591E48"/>
    <w:rsid w:val="00595489"/>
    <w:rsid w:val="00595A62"/>
    <w:rsid w:val="005A03BB"/>
    <w:rsid w:val="005A4534"/>
    <w:rsid w:val="005A5A76"/>
    <w:rsid w:val="005B3C36"/>
    <w:rsid w:val="005B4950"/>
    <w:rsid w:val="005B6446"/>
    <w:rsid w:val="005B646F"/>
    <w:rsid w:val="005B7153"/>
    <w:rsid w:val="005C2EBA"/>
    <w:rsid w:val="005C53CA"/>
    <w:rsid w:val="005C7C05"/>
    <w:rsid w:val="005D00CA"/>
    <w:rsid w:val="005D0932"/>
    <w:rsid w:val="005D13A8"/>
    <w:rsid w:val="005D2148"/>
    <w:rsid w:val="005D2DB4"/>
    <w:rsid w:val="005D584C"/>
    <w:rsid w:val="005D626D"/>
    <w:rsid w:val="005D642C"/>
    <w:rsid w:val="005D6F93"/>
    <w:rsid w:val="005D7602"/>
    <w:rsid w:val="005E16C9"/>
    <w:rsid w:val="005E18FF"/>
    <w:rsid w:val="005E3FDE"/>
    <w:rsid w:val="005E51D7"/>
    <w:rsid w:val="005E563D"/>
    <w:rsid w:val="005E692C"/>
    <w:rsid w:val="005F179C"/>
    <w:rsid w:val="005F4E49"/>
    <w:rsid w:val="005F5A06"/>
    <w:rsid w:val="00600660"/>
    <w:rsid w:val="0060325A"/>
    <w:rsid w:val="00605D80"/>
    <w:rsid w:val="00606FE6"/>
    <w:rsid w:val="00610BCA"/>
    <w:rsid w:val="00612791"/>
    <w:rsid w:val="00614229"/>
    <w:rsid w:val="00614840"/>
    <w:rsid w:val="00615289"/>
    <w:rsid w:val="00615582"/>
    <w:rsid w:val="00616D33"/>
    <w:rsid w:val="00620A12"/>
    <w:rsid w:val="00620E4A"/>
    <w:rsid w:val="00625E33"/>
    <w:rsid w:val="00626EFC"/>
    <w:rsid w:val="0063327B"/>
    <w:rsid w:val="00634F12"/>
    <w:rsid w:val="006439EE"/>
    <w:rsid w:val="00643F0C"/>
    <w:rsid w:val="00651907"/>
    <w:rsid w:val="00651BDE"/>
    <w:rsid w:val="006614E9"/>
    <w:rsid w:val="00664B9B"/>
    <w:rsid w:val="006674BD"/>
    <w:rsid w:val="0067013C"/>
    <w:rsid w:val="00672D2C"/>
    <w:rsid w:val="0067466C"/>
    <w:rsid w:val="006776FF"/>
    <w:rsid w:val="00677859"/>
    <w:rsid w:val="00681078"/>
    <w:rsid w:val="00683EF6"/>
    <w:rsid w:val="0068643F"/>
    <w:rsid w:val="0069359F"/>
    <w:rsid w:val="00693B97"/>
    <w:rsid w:val="006975AA"/>
    <w:rsid w:val="006A041B"/>
    <w:rsid w:val="006A17DA"/>
    <w:rsid w:val="006A5124"/>
    <w:rsid w:val="006A66F2"/>
    <w:rsid w:val="006A7074"/>
    <w:rsid w:val="006B06C0"/>
    <w:rsid w:val="006B0CE3"/>
    <w:rsid w:val="006B4D19"/>
    <w:rsid w:val="006B5478"/>
    <w:rsid w:val="006C50BB"/>
    <w:rsid w:val="006D0330"/>
    <w:rsid w:val="006D2AC8"/>
    <w:rsid w:val="006D2C84"/>
    <w:rsid w:val="006D3793"/>
    <w:rsid w:val="006E1736"/>
    <w:rsid w:val="006E325D"/>
    <w:rsid w:val="006E3901"/>
    <w:rsid w:val="006E3B38"/>
    <w:rsid w:val="006E4861"/>
    <w:rsid w:val="006E6097"/>
    <w:rsid w:val="006F2E47"/>
    <w:rsid w:val="006F4D53"/>
    <w:rsid w:val="006F6701"/>
    <w:rsid w:val="006F6A04"/>
    <w:rsid w:val="006F7501"/>
    <w:rsid w:val="00703313"/>
    <w:rsid w:val="0070472C"/>
    <w:rsid w:val="00707F04"/>
    <w:rsid w:val="00714687"/>
    <w:rsid w:val="00714ADD"/>
    <w:rsid w:val="0071620A"/>
    <w:rsid w:val="00716E43"/>
    <w:rsid w:val="007176C7"/>
    <w:rsid w:val="00720833"/>
    <w:rsid w:val="00720F9C"/>
    <w:rsid w:val="00721C13"/>
    <w:rsid w:val="0072400E"/>
    <w:rsid w:val="00725F57"/>
    <w:rsid w:val="007276F5"/>
    <w:rsid w:val="007307DB"/>
    <w:rsid w:val="007315DD"/>
    <w:rsid w:val="0073452C"/>
    <w:rsid w:val="007348BA"/>
    <w:rsid w:val="00735109"/>
    <w:rsid w:val="0073795E"/>
    <w:rsid w:val="007441BA"/>
    <w:rsid w:val="007454F5"/>
    <w:rsid w:val="00747D18"/>
    <w:rsid w:val="00750065"/>
    <w:rsid w:val="00751EA1"/>
    <w:rsid w:val="00755131"/>
    <w:rsid w:val="00755CFD"/>
    <w:rsid w:val="00760E27"/>
    <w:rsid w:val="00761D2A"/>
    <w:rsid w:val="00762819"/>
    <w:rsid w:val="007633AA"/>
    <w:rsid w:val="00763E69"/>
    <w:rsid w:val="007650ED"/>
    <w:rsid w:val="00765951"/>
    <w:rsid w:val="00765A7C"/>
    <w:rsid w:val="00765EDB"/>
    <w:rsid w:val="00771065"/>
    <w:rsid w:val="00774ABB"/>
    <w:rsid w:val="00774AE8"/>
    <w:rsid w:val="00775570"/>
    <w:rsid w:val="007767B2"/>
    <w:rsid w:val="00777BE4"/>
    <w:rsid w:val="00780515"/>
    <w:rsid w:val="007814A7"/>
    <w:rsid w:val="00781E18"/>
    <w:rsid w:val="00783C26"/>
    <w:rsid w:val="007842B4"/>
    <w:rsid w:val="00790AD9"/>
    <w:rsid w:val="0079120B"/>
    <w:rsid w:val="007925B0"/>
    <w:rsid w:val="00792623"/>
    <w:rsid w:val="0079271F"/>
    <w:rsid w:val="00792D43"/>
    <w:rsid w:val="007933B1"/>
    <w:rsid w:val="00794B57"/>
    <w:rsid w:val="007963AB"/>
    <w:rsid w:val="007968CE"/>
    <w:rsid w:val="007974D8"/>
    <w:rsid w:val="007A28C1"/>
    <w:rsid w:val="007A33D6"/>
    <w:rsid w:val="007A3FCD"/>
    <w:rsid w:val="007A6A74"/>
    <w:rsid w:val="007B108B"/>
    <w:rsid w:val="007B6DB4"/>
    <w:rsid w:val="007C1750"/>
    <w:rsid w:val="007C37A6"/>
    <w:rsid w:val="007C3DF5"/>
    <w:rsid w:val="007C521E"/>
    <w:rsid w:val="007C5BD0"/>
    <w:rsid w:val="007C6212"/>
    <w:rsid w:val="007D1068"/>
    <w:rsid w:val="007D1EF7"/>
    <w:rsid w:val="007D2BE0"/>
    <w:rsid w:val="007D3BFD"/>
    <w:rsid w:val="007D56C5"/>
    <w:rsid w:val="007D6671"/>
    <w:rsid w:val="007D6ACB"/>
    <w:rsid w:val="007E3EFB"/>
    <w:rsid w:val="007E46EE"/>
    <w:rsid w:val="007E6025"/>
    <w:rsid w:val="007E6948"/>
    <w:rsid w:val="007E6C32"/>
    <w:rsid w:val="007E7B22"/>
    <w:rsid w:val="007F18EB"/>
    <w:rsid w:val="007F1998"/>
    <w:rsid w:val="007F7E83"/>
    <w:rsid w:val="00801405"/>
    <w:rsid w:val="00804276"/>
    <w:rsid w:val="008056D7"/>
    <w:rsid w:val="0081364A"/>
    <w:rsid w:val="00820647"/>
    <w:rsid w:val="00820908"/>
    <w:rsid w:val="00826AC1"/>
    <w:rsid w:val="00827CD6"/>
    <w:rsid w:val="00830653"/>
    <w:rsid w:val="0083099B"/>
    <w:rsid w:val="0083188B"/>
    <w:rsid w:val="00831CB7"/>
    <w:rsid w:val="008320F9"/>
    <w:rsid w:val="0083524A"/>
    <w:rsid w:val="00836300"/>
    <w:rsid w:val="00841ED3"/>
    <w:rsid w:val="008421E7"/>
    <w:rsid w:val="008428FE"/>
    <w:rsid w:val="008525C2"/>
    <w:rsid w:val="0085604E"/>
    <w:rsid w:val="0085644C"/>
    <w:rsid w:val="0085676F"/>
    <w:rsid w:val="00856DE4"/>
    <w:rsid w:val="00861709"/>
    <w:rsid w:val="008625E2"/>
    <w:rsid w:val="00866C43"/>
    <w:rsid w:val="008730CF"/>
    <w:rsid w:val="0087325D"/>
    <w:rsid w:val="00873A15"/>
    <w:rsid w:val="00876497"/>
    <w:rsid w:val="0088116E"/>
    <w:rsid w:val="008820D2"/>
    <w:rsid w:val="008828E8"/>
    <w:rsid w:val="00884B04"/>
    <w:rsid w:val="008927DB"/>
    <w:rsid w:val="00896FAA"/>
    <w:rsid w:val="008A08C1"/>
    <w:rsid w:val="008A3311"/>
    <w:rsid w:val="008B181B"/>
    <w:rsid w:val="008B46AB"/>
    <w:rsid w:val="008B5031"/>
    <w:rsid w:val="008C06F2"/>
    <w:rsid w:val="008C0CAD"/>
    <w:rsid w:val="008C22E6"/>
    <w:rsid w:val="008C2AD2"/>
    <w:rsid w:val="008C466D"/>
    <w:rsid w:val="008D063B"/>
    <w:rsid w:val="008D08DC"/>
    <w:rsid w:val="008D2DBE"/>
    <w:rsid w:val="008E1CCD"/>
    <w:rsid w:val="008E2F14"/>
    <w:rsid w:val="008E323C"/>
    <w:rsid w:val="008E3C21"/>
    <w:rsid w:val="008E5162"/>
    <w:rsid w:val="008E5B6E"/>
    <w:rsid w:val="008E7830"/>
    <w:rsid w:val="008F1205"/>
    <w:rsid w:val="008F7289"/>
    <w:rsid w:val="008F74D5"/>
    <w:rsid w:val="009003D2"/>
    <w:rsid w:val="00900C0A"/>
    <w:rsid w:val="00900EE4"/>
    <w:rsid w:val="00904349"/>
    <w:rsid w:val="00904693"/>
    <w:rsid w:val="00905E03"/>
    <w:rsid w:val="00906579"/>
    <w:rsid w:val="00910F04"/>
    <w:rsid w:val="00912048"/>
    <w:rsid w:val="00916960"/>
    <w:rsid w:val="0092017F"/>
    <w:rsid w:val="00920B80"/>
    <w:rsid w:val="0092399E"/>
    <w:rsid w:val="009278B5"/>
    <w:rsid w:val="00932EA9"/>
    <w:rsid w:val="00934A4B"/>
    <w:rsid w:val="00937F65"/>
    <w:rsid w:val="00942AF0"/>
    <w:rsid w:val="00944667"/>
    <w:rsid w:val="009460B1"/>
    <w:rsid w:val="00947824"/>
    <w:rsid w:val="0095046C"/>
    <w:rsid w:val="00954D77"/>
    <w:rsid w:val="0095539F"/>
    <w:rsid w:val="009555C9"/>
    <w:rsid w:val="00957192"/>
    <w:rsid w:val="00957D96"/>
    <w:rsid w:val="0096036E"/>
    <w:rsid w:val="009608B2"/>
    <w:rsid w:val="00960FBA"/>
    <w:rsid w:val="00961BF7"/>
    <w:rsid w:val="0096271F"/>
    <w:rsid w:val="009644DC"/>
    <w:rsid w:val="009720BB"/>
    <w:rsid w:val="00981164"/>
    <w:rsid w:val="00984B07"/>
    <w:rsid w:val="00985C70"/>
    <w:rsid w:val="009870B4"/>
    <w:rsid w:val="00987A0E"/>
    <w:rsid w:val="009935DE"/>
    <w:rsid w:val="00995C9B"/>
    <w:rsid w:val="00997BD8"/>
    <w:rsid w:val="009A10B1"/>
    <w:rsid w:val="009A3F5C"/>
    <w:rsid w:val="009A46E7"/>
    <w:rsid w:val="009A51C1"/>
    <w:rsid w:val="009A5CD7"/>
    <w:rsid w:val="009A736F"/>
    <w:rsid w:val="009B0912"/>
    <w:rsid w:val="009B272C"/>
    <w:rsid w:val="009B2F31"/>
    <w:rsid w:val="009B3808"/>
    <w:rsid w:val="009B477C"/>
    <w:rsid w:val="009C0075"/>
    <w:rsid w:val="009C4E96"/>
    <w:rsid w:val="009C5941"/>
    <w:rsid w:val="009D1AE5"/>
    <w:rsid w:val="009D4803"/>
    <w:rsid w:val="009D58FA"/>
    <w:rsid w:val="009D7B07"/>
    <w:rsid w:val="009E24B5"/>
    <w:rsid w:val="009E3852"/>
    <w:rsid w:val="009E3D70"/>
    <w:rsid w:val="009E4CE4"/>
    <w:rsid w:val="009F0568"/>
    <w:rsid w:val="009F24BC"/>
    <w:rsid w:val="009F37BF"/>
    <w:rsid w:val="009F6DD0"/>
    <w:rsid w:val="009F71D6"/>
    <w:rsid w:val="009F759E"/>
    <w:rsid w:val="009F777A"/>
    <w:rsid w:val="00A019F2"/>
    <w:rsid w:val="00A01FA8"/>
    <w:rsid w:val="00A038D7"/>
    <w:rsid w:val="00A05511"/>
    <w:rsid w:val="00A066AB"/>
    <w:rsid w:val="00A06E89"/>
    <w:rsid w:val="00A07133"/>
    <w:rsid w:val="00A07812"/>
    <w:rsid w:val="00A131CC"/>
    <w:rsid w:val="00A1482D"/>
    <w:rsid w:val="00A21E56"/>
    <w:rsid w:val="00A2341F"/>
    <w:rsid w:val="00A23997"/>
    <w:rsid w:val="00A23A68"/>
    <w:rsid w:val="00A2459D"/>
    <w:rsid w:val="00A24A84"/>
    <w:rsid w:val="00A253E5"/>
    <w:rsid w:val="00A260C5"/>
    <w:rsid w:val="00A268F2"/>
    <w:rsid w:val="00A32F63"/>
    <w:rsid w:val="00A36769"/>
    <w:rsid w:val="00A37665"/>
    <w:rsid w:val="00A4134A"/>
    <w:rsid w:val="00A4146F"/>
    <w:rsid w:val="00A4341A"/>
    <w:rsid w:val="00A456EE"/>
    <w:rsid w:val="00A457F3"/>
    <w:rsid w:val="00A4596A"/>
    <w:rsid w:val="00A506E4"/>
    <w:rsid w:val="00A50FDF"/>
    <w:rsid w:val="00A52312"/>
    <w:rsid w:val="00A52A97"/>
    <w:rsid w:val="00A5481C"/>
    <w:rsid w:val="00A55D15"/>
    <w:rsid w:val="00A56E1C"/>
    <w:rsid w:val="00A57CD9"/>
    <w:rsid w:val="00A60DAB"/>
    <w:rsid w:val="00A613A5"/>
    <w:rsid w:val="00A6321A"/>
    <w:rsid w:val="00A656C8"/>
    <w:rsid w:val="00A658D5"/>
    <w:rsid w:val="00A65AC6"/>
    <w:rsid w:val="00A719CF"/>
    <w:rsid w:val="00A731C1"/>
    <w:rsid w:val="00A77B4A"/>
    <w:rsid w:val="00A82C4D"/>
    <w:rsid w:val="00A846E9"/>
    <w:rsid w:val="00A85922"/>
    <w:rsid w:val="00A85E54"/>
    <w:rsid w:val="00A91E2B"/>
    <w:rsid w:val="00A91E6C"/>
    <w:rsid w:val="00A95429"/>
    <w:rsid w:val="00AA0AF8"/>
    <w:rsid w:val="00AA0C70"/>
    <w:rsid w:val="00AB0293"/>
    <w:rsid w:val="00AB597F"/>
    <w:rsid w:val="00AB5BB5"/>
    <w:rsid w:val="00AB647A"/>
    <w:rsid w:val="00AB7132"/>
    <w:rsid w:val="00AC0700"/>
    <w:rsid w:val="00AC07F4"/>
    <w:rsid w:val="00AC218F"/>
    <w:rsid w:val="00AC2FE8"/>
    <w:rsid w:val="00AC6789"/>
    <w:rsid w:val="00AC6FC7"/>
    <w:rsid w:val="00AC799B"/>
    <w:rsid w:val="00AD4380"/>
    <w:rsid w:val="00AD5AEB"/>
    <w:rsid w:val="00AE151F"/>
    <w:rsid w:val="00AE4D2F"/>
    <w:rsid w:val="00AE4EF9"/>
    <w:rsid w:val="00AF1014"/>
    <w:rsid w:val="00AF11F6"/>
    <w:rsid w:val="00AF13C4"/>
    <w:rsid w:val="00AF1C23"/>
    <w:rsid w:val="00AF25E4"/>
    <w:rsid w:val="00AF2888"/>
    <w:rsid w:val="00AF2899"/>
    <w:rsid w:val="00AF320D"/>
    <w:rsid w:val="00AF37A8"/>
    <w:rsid w:val="00AF3F23"/>
    <w:rsid w:val="00B1070C"/>
    <w:rsid w:val="00B12289"/>
    <w:rsid w:val="00B13F6C"/>
    <w:rsid w:val="00B144BB"/>
    <w:rsid w:val="00B1490D"/>
    <w:rsid w:val="00B16F03"/>
    <w:rsid w:val="00B172B1"/>
    <w:rsid w:val="00B20084"/>
    <w:rsid w:val="00B215EB"/>
    <w:rsid w:val="00B21A1B"/>
    <w:rsid w:val="00B23A4B"/>
    <w:rsid w:val="00B24426"/>
    <w:rsid w:val="00B31A84"/>
    <w:rsid w:val="00B32019"/>
    <w:rsid w:val="00B33CCC"/>
    <w:rsid w:val="00B4178B"/>
    <w:rsid w:val="00B42633"/>
    <w:rsid w:val="00B47BD3"/>
    <w:rsid w:val="00B47C7D"/>
    <w:rsid w:val="00B52118"/>
    <w:rsid w:val="00B54117"/>
    <w:rsid w:val="00B57075"/>
    <w:rsid w:val="00B5762B"/>
    <w:rsid w:val="00B57C99"/>
    <w:rsid w:val="00B644E7"/>
    <w:rsid w:val="00B65112"/>
    <w:rsid w:val="00B66895"/>
    <w:rsid w:val="00B721FA"/>
    <w:rsid w:val="00B74760"/>
    <w:rsid w:val="00B75A67"/>
    <w:rsid w:val="00B76F8C"/>
    <w:rsid w:val="00B779F8"/>
    <w:rsid w:val="00B81C7C"/>
    <w:rsid w:val="00B8445D"/>
    <w:rsid w:val="00B912E4"/>
    <w:rsid w:val="00B91ACF"/>
    <w:rsid w:val="00B91B91"/>
    <w:rsid w:val="00B939D6"/>
    <w:rsid w:val="00B93AA1"/>
    <w:rsid w:val="00B9460F"/>
    <w:rsid w:val="00B95805"/>
    <w:rsid w:val="00B966DA"/>
    <w:rsid w:val="00BA0824"/>
    <w:rsid w:val="00BB21B5"/>
    <w:rsid w:val="00BB2222"/>
    <w:rsid w:val="00BB4B54"/>
    <w:rsid w:val="00BB5FD7"/>
    <w:rsid w:val="00BB7F93"/>
    <w:rsid w:val="00BC2A56"/>
    <w:rsid w:val="00BC5D9E"/>
    <w:rsid w:val="00BD0743"/>
    <w:rsid w:val="00BD217A"/>
    <w:rsid w:val="00BD283C"/>
    <w:rsid w:val="00BD4491"/>
    <w:rsid w:val="00BE3907"/>
    <w:rsid w:val="00BE408F"/>
    <w:rsid w:val="00BE5603"/>
    <w:rsid w:val="00BE79A1"/>
    <w:rsid w:val="00BF136C"/>
    <w:rsid w:val="00BF320E"/>
    <w:rsid w:val="00BF5775"/>
    <w:rsid w:val="00BF75AA"/>
    <w:rsid w:val="00C0449C"/>
    <w:rsid w:val="00C05DE1"/>
    <w:rsid w:val="00C11241"/>
    <w:rsid w:val="00C17FFA"/>
    <w:rsid w:val="00C202DB"/>
    <w:rsid w:val="00C24F55"/>
    <w:rsid w:val="00C3339D"/>
    <w:rsid w:val="00C34AC1"/>
    <w:rsid w:val="00C34B62"/>
    <w:rsid w:val="00C40757"/>
    <w:rsid w:val="00C41A98"/>
    <w:rsid w:val="00C446F2"/>
    <w:rsid w:val="00C45EE7"/>
    <w:rsid w:val="00C52A8B"/>
    <w:rsid w:val="00C67530"/>
    <w:rsid w:val="00C7097D"/>
    <w:rsid w:val="00C754D0"/>
    <w:rsid w:val="00C76374"/>
    <w:rsid w:val="00C77050"/>
    <w:rsid w:val="00C84834"/>
    <w:rsid w:val="00C85A11"/>
    <w:rsid w:val="00C92CC5"/>
    <w:rsid w:val="00CA2185"/>
    <w:rsid w:val="00CA23A9"/>
    <w:rsid w:val="00CA5D21"/>
    <w:rsid w:val="00CA7AC6"/>
    <w:rsid w:val="00CB352E"/>
    <w:rsid w:val="00CB3D8C"/>
    <w:rsid w:val="00CB77DD"/>
    <w:rsid w:val="00CC0732"/>
    <w:rsid w:val="00CC492E"/>
    <w:rsid w:val="00CC4AA7"/>
    <w:rsid w:val="00CD503A"/>
    <w:rsid w:val="00CD7188"/>
    <w:rsid w:val="00CD726C"/>
    <w:rsid w:val="00CD797D"/>
    <w:rsid w:val="00CD7BD5"/>
    <w:rsid w:val="00CE4378"/>
    <w:rsid w:val="00CE7CD0"/>
    <w:rsid w:val="00CF6AA7"/>
    <w:rsid w:val="00CF7A93"/>
    <w:rsid w:val="00D00FF7"/>
    <w:rsid w:val="00D011D4"/>
    <w:rsid w:val="00D01294"/>
    <w:rsid w:val="00D02569"/>
    <w:rsid w:val="00D03487"/>
    <w:rsid w:val="00D06E99"/>
    <w:rsid w:val="00D142A8"/>
    <w:rsid w:val="00D172A3"/>
    <w:rsid w:val="00D20C89"/>
    <w:rsid w:val="00D2125E"/>
    <w:rsid w:val="00D21D84"/>
    <w:rsid w:val="00D22B3D"/>
    <w:rsid w:val="00D23145"/>
    <w:rsid w:val="00D24B3D"/>
    <w:rsid w:val="00D24F60"/>
    <w:rsid w:val="00D25FEA"/>
    <w:rsid w:val="00D26E72"/>
    <w:rsid w:val="00D31EC3"/>
    <w:rsid w:val="00D32786"/>
    <w:rsid w:val="00D32E36"/>
    <w:rsid w:val="00D33548"/>
    <w:rsid w:val="00D408CA"/>
    <w:rsid w:val="00D4196F"/>
    <w:rsid w:val="00D42052"/>
    <w:rsid w:val="00D4412E"/>
    <w:rsid w:val="00D44A8E"/>
    <w:rsid w:val="00D45A0E"/>
    <w:rsid w:val="00D46A9D"/>
    <w:rsid w:val="00D503FB"/>
    <w:rsid w:val="00D519E2"/>
    <w:rsid w:val="00D53705"/>
    <w:rsid w:val="00D539B0"/>
    <w:rsid w:val="00D62B45"/>
    <w:rsid w:val="00D63F56"/>
    <w:rsid w:val="00D63FB5"/>
    <w:rsid w:val="00D65733"/>
    <w:rsid w:val="00D67F93"/>
    <w:rsid w:val="00D7055C"/>
    <w:rsid w:val="00D71693"/>
    <w:rsid w:val="00D7231E"/>
    <w:rsid w:val="00D81E31"/>
    <w:rsid w:val="00D90944"/>
    <w:rsid w:val="00D90A81"/>
    <w:rsid w:val="00D920A6"/>
    <w:rsid w:val="00D93BC5"/>
    <w:rsid w:val="00D94312"/>
    <w:rsid w:val="00D949C3"/>
    <w:rsid w:val="00D96F40"/>
    <w:rsid w:val="00DA0653"/>
    <w:rsid w:val="00DA4F48"/>
    <w:rsid w:val="00DB0636"/>
    <w:rsid w:val="00DB1A7F"/>
    <w:rsid w:val="00DB1B8A"/>
    <w:rsid w:val="00DB3B17"/>
    <w:rsid w:val="00DB3B72"/>
    <w:rsid w:val="00DB4CAF"/>
    <w:rsid w:val="00DB5135"/>
    <w:rsid w:val="00DC0DE4"/>
    <w:rsid w:val="00DC3FD1"/>
    <w:rsid w:val="00DC45EC"/>
    <w:rsid w:val="00DC6108"/>
    <w:rsid w:val="00DD1698"/>
    <w:rsid w:val="00DD2681"/>
    <w:rsid w:val="00DD3EAD"/>
    <w:rsid w:val="00DD4A4D"/>
    <w:rsid w:val="00DD53EB"/>
    <w:rsid w:val="00DD62E7"/>
    <w:rsid w:val="00DE0626"/>
    <w:rsid w:val="00DE5D22"/>
    <w:rsid w:val="00DF215E"/>
    <w:rsid w:val="00DF5000"/>
    <w:rsid w:val="00DF6BDD"/>
    <w:rsid w:val="00DF6EB2"/>
    <w:rsid w:val="00E0077A"/>
    <w:rsid w:val="00E02940"/>
    <w:rsid w:val="00E05132"/>
    <w:rsid w:val="00E107D2"/>
    <w:rsid w:val="00E1168D"/>
    <w:rsid w:val="00E11920"/>
    <w:rsid w:val="00E1243E"/>
    <w:rsid w:val="00E13651"/>
    <w:rsid w:val="00E138AD"/>
    <w:rsid w:val="00E15839"/>
    <w:rsid w:val="00E17AFE"/>
    <w:rsid w:val="00E22B97"/>
    <w:rsid w:val="00E23C1D"/>
    <w:rsid w:val="00E25D70"/>
    <w:rsid w:val="00E26DBA"/>
    <w:rsid w:val="00E31CD1"/>
    <w:rsid w:val="00E328A1"/>
    <w:rsid w:val="00E354B8"/>
    <w:rsid w:val="00E3715A"/>
    <w:rsid w:val="00E372A6"/>
    <w:rsid w:val="00E40464"/>
    <w:rsid w:val="00E43CF0"/>
    <w:rsid w:val="00E4406A"/>
    <w:rsid w:val="00E45B6D"/>
    <w:rsid w:val="00E46538"/>
    <w:rsid w:val="00E573CC"/>
    <w:rsid w:val="00E60BB5"/>
    <w:rsid w:val="00E61E69"/>
    <w:rsid w:val="00E63A83"/>
    <w:rsid w:val="00E761E5"/>
    <w:rsid w:val="00E76EAD"/>
    <w:rsid w:val="00E77EE9"/>
    <w:rsid w:val="00E8022A"/>
    <w:rsid w:val="00E82703"/>
    <w:rsid w:val="00E83D83"/>
    <w:rsid w:val="00E9283E"/>
    <w:rsid w:val="00E93659"/>
    <w:rsid w:val="00E96837"/>
    <w:rsid w:val="00EA057C"/>
    <w:rsid w:val="00EA3D5B"/>
    <w:rsid w:val="00EB0600"/>
    <w:rsid w:val="00EB5597"/>
    <w:rsid w:val="00EC6820"/>
    <w:rsid w:val="00ED2134"/>
    <w:rsid w:val="00ED2156"/>
    <w:rsid w:val="00ED41AC"/>
    <w:rsid w:val="00ED4583"/>
    <w:rsid w:val="00ED5FDD"/>
    <w:rsid w:val="00ED6174"/>
    <w:rsid w:val="00EE2D44"/>
    <w:rsid w:val="00EE740C"/>
    <w:rsid w:val="00EF1144"/>
    <w:rsid w:val="00EF51A6"/>
    <w:rsid w:val="00EF52A5"/>
    <w:rsid w:val="00EF5F9D"/>
    <w:rsid w:val="00F0013A"/>
    <w:rsid w:val="00F009B6"/>
    <w:rsid w:val="00F02210"/>
    <w:rsid w:val="00F035EB"/>
    <w:rsid w:val="00F03E8D"/>
    <w:rsid w:val="00F03EEE"/>
    <w:rsid w:val="00F0422E"/>
    <w:rsid w:val="00F04CF1"/>
    <w:rsid w:val="00F07162"/>
    <w:rsid w:val="00F10974"/>
    <w:rsid w:val="00F11033"/>
    <w:rsid w:val="00F11FA3"/>
    <w:rsid w:val="00F1303B"/>
    <w:rsid w:val="00F14C16"/>
    <w:rsid w:val="00F16B0F"/>
    <w:rsid w:val="00F174F0"/>
    <w:rsid w:val="00F20432"/>
    <w:rsid w:val="00F27CFD"/>
    <w:rsid w:val="00F3066F"/>
    <w:rsid w:val="00F311B2"/>
    <w:rsid w:val="00F32DEB"/>
    <w:rsid w:val="00F34287"/>
    <w:rsid w:val="00F343A5"/>
    <w:rsid w:val="00F374CF"/>
    <w:rsid w:val="00F4122C"/>
    <w:rsid w:val="00F42A2C"/>
    <w:rsid w:val="00F43ED0"/>
    <w:rsid w:val="00F44E73"/>
    <w:rsid w:val="00F46D32"/>
    <w:rsid w:val="00F47174"/>
    <w:rsid w:val="00F50631"/>
    <w:rsid w:val="00F61DEB"/>
    <w:rsid w:val="00F62340"/>
    <w:rsid w:val="00F640C4"/>
    <w:rsid w:val="00F65762"/>
    <w:rsid w:val="00F72216"/>
    <w:rsid w:val="00F75C12"/>
    <w:rsid w:val="00F770C1"/>
    <w:rsid w:val="00F779EA"/>
    <w:rsid w:val="00F81CB7"/>
    <w:rsid w:val="00F84F56"/>
    <w:rsid w:val="00F87992"/>
    <w:rsid w:val="00F94027"/>
    <w:rsid w:val="00F94519"/>
    <w:rsid w:val="00F94FDC"/>
    <w:rsid w:val="00F96F05"/>
    <w:rsid w:val="00F97967"/>
    <w:rsid w:val="00F97F21"/>
    <w:rsid w:val="00FA1069"/>
    <w:rsid w:val="00FA178B"/>
    <w:rsid w:val="00FA561B"/>
    <w:rsid w:val="00FA6C3F"/>
    <w:rsid w:val="00FA6E69"/>
    <w:rsid w:val="00FA7C0E"/>
    <w:rsid w:val="00FB283E"/>
    <w:rsid w:val="00FB2B96"/>
    <w:rsid w:val="00FC0E8E"/>
    <w:rsid w:val="00FC115F"/>
    <w:rsid w:val="00FC305A"/>
    <w:rsid w:val="00FC4A28"/>
    <w:rsid w:val="00FC7073"/>
    <w:rsid w:val="00FC7ACA"/>
    <w:rsid w:val="00FD0CD5"/>
    <w:rsid w:val="00FD5330"/>
    <w:rsid w:val="00FD5B51"/>
    <w:rsid w:val="00FE3F7D"/>
    <w:rsid w:val="00FE454C"/>
    <w:rsid w:val="00FE517F"/>
    <w:rsid w:val="00FE5A08"/>
    <w:rsid w:val="00FE7A0A"/>
    <w:rsid w:val="00FF02DF"/>
    <w:rsid w:val="00FF0FE6"/>
    <w:rsid w:val="00FF10FD"/>
    <w:rsid w:val="00FF1160"/>
    <w:rsid w:val="00FF324A"/>
    <w:rsid w:val="00FF3D68"/>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E0B81-13D8-4DF3-97D5-686FC8CD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E27CB"/>
    <w:pPr>
      <w:spacing w:after="0" w:line="240" w:lineRule="auto"/>
    </w:pPr>
    <w:rPr>
      <w:sz w:val="20"/>
      <w:szCs w:val="20"/>
    </w:rPr>
  </w:style>
  <w:style w:type="character" w:customStyle="1" w:styleId="a5">
    <w:name w:val="Текст сноски Знак"/>
    <w:basedOn w:val="a0"/>
    <w:link w:val="a4"/>
    <w:uiPriority w:val="99"/>
    <w:semiHidden/>
    <w:rsid w:val="002E27CB"/>
    <w:rPr>
      <w:sz w:val="20"/>
      <w:szCs w:val="20"/>
    </w:rPr>
  </w:style>
  <w:style w:type="character" w:styleId="a6">
    <w:name w:val="footnote reference"/>
    <w:basedOn w:val="a0"/>
    <w:uiPriority w:val="99"/>
    <w:semiHidden/>
    <w:unhideWhenUsed/>
    <w:rsid w:val="002E27CB"/>
    <w:rPr>
      <w:vertAlign w:val="superscript"/>
    </w:rPr>
  </w:style>
  <w:style w:type="paragraph" w:styleId="a7">
    <w:name w:val="Balloon Text"/>
    <w:basedOn w:val="a"/>
    <w:link w:val="a8"/>
    <w:uiPriority w:val="99"/>
    <w:semiHidden/>
    <w:unhideWhenUsed/>
    <w:rsid w:val="00EA3D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3D5B"/>
    <w:rPr>
      <w:rFonts w:ascii="Segoe UI" w:hAnsi="Segoe UI" w:cs="Segoe UI"/>
      <w:sz w:val="18"/>
      <w:szCs w:val="18"/>
    </w:rPr>
  </w:style>
  <w:style w:type="character" w:styleId="a9">
    <w:name w:val="annotation reference"/>
    <w:basedOn w:val="a0"/>
    <w:uiPriority w:val="99"/>
    <w:semiHidden/>
    <w:unhideWhenUsed/>
    <w:rsid w:val="0034241A"/>
    <w:rPr>
      <w:sz w:val="16"/>
      <w:szCs w:val="16"/>
    </w:rPr>
  </w:style>
  <w:style w:type="paragraph" w:styleId="aa">
    <w:name w:val="annotation text"/>
    <w:basedOn w:val="a"/>
    <w:link w:val="ab"/>
    <w:uiPriority w:val="99"/>
    <w:semiHidden/>
    <w:unhideWhenUsed/>
    <w:rsid w:val="0034241A"/>
    <w:pPr>
      <w:spacing w:line="240" w:lineRule="auto"/>
    </w:pPr>
    <w:rPr>
      <w:sz w:val="20"/>
      <w:szCs w:val="20"/>
    </w:rPr>
  </w:style>
  <w:style w:type="character" w:customStyle="1" w:styleId="ab">
    <w:name w:val="Текст примечания Знак"/>
    <w:basedOn w:val="a0"/>
    <w:link w:val="aa"/>
    <w:uiPriority w:val="99"/>
    <w:semiHidden/>
    <w:rsid w:val="0034241A"/>
    <w:rPr>
      <w:sz w:val="20"/>
      <w:szCs w:val="20"/>
    </w:rPr>
  </w:style>
  <w:style w:type="paragraph" w:styleId="ac">
    <w:name w:val="annotation subject"/>
    <w:basedOn w:val="aa"/>
    <w:next w:val="aa"/>
    <w:link w:val="ad"/>
    <w:uiPriority w:val="99"/>
    <w:semiHidden/>
    <w:unhideWhenUsed/>
    <w:rsid w:val="0034241A"/>
    <w:rPr>
      <w:b/>
      <w:bCs/>
    </w:rPr>
  </w:style>
  <w:style w:type="character" w:customStyle="1" w:styleId="ad">
    <w:name w:val="Тема примечания Знак"/>
    <w:basedOn w:val="ab"/>
    <w:link w:val="ac"/>
    <w:uiPriority w:val="99"/>
    <w:semiHidden/>
    <w:rsid w:val="0034241A"/>
    <w:rPr>
      <w:b/>
      <w:bCs/>
      <w:sz w:val="20"/>
      <w:szCs w:val="20"/>
    </w:rPr>
  </w:style>
  <w:style w:type="paragraph" w:styleId="ae">
    <w:name w:val="header"/>
    <w:basedOn w:val="a"/>
    <w:link w:val="af"/>
    <w:uiPriority w:val="99"/>
    <w:unhideWhenUsed/>
    <w:rsid w:val="00AF3F2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F3F23"/>
  </w:style>
  <w:style w:type="paragraph" w:styleId="af0">
    <w:name w:val="footer"/>
    <w:basedOn w:val="a"/>
    <w:link w:val="af1"/>
    <w:uiPriority w:val="99"/>
    <w:unhideWhenUsed/>
    <w:rsid w:val="00AF3F2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F3F23"/>
  </w:style>
  <w:style w:type="paragraph" w:styleId="af2">
    <w:name w:val="List Paragraph"/>
    <w:basedOn w:val="a"/>
    <w:uiPriority w:val="34"/>
    <w:qFormat/>
    <w:rsid w:val="00E328A1"/>
    <w:pPr>
      <w:ind w:left="720"/>
      <w:contextualSpacing/>
    </w:pPr>
  </w:style>
  <w:style w:type="character" w:styleId="af3">
    <w:name w:val="Hyperlink"/>
    <w:basedOn w:val="a0"/>
    <w:uiPriority w:val="99"/>
    <w:unhideWhenUsed/>
    <w:rsid w:val="001E6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CC2F-F38C-4AE4-877D-501378F1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Станислав Александрович</dc:creator>
  <cp:keywords/>
  <dc:description/>
  <cp:lastModifiedBy>Полякова Аделия Игоревна</cp:lastModifiedBy>
  <cp:revision>2</cp:revision>
  <cp:lastPrinted>2022-10-18T09:29:00Z</cp:lastPrinted>
  <dcterms:created xsi:type="dcterms:W3CDTF">2022-10-28T14:45:00Z</dcterms:created>
  <dcterms:modified xsi:type="dcterms:W3CDTF">2022-10-28T14:45:00Z</dcterms:modified>
</cp:coreProperties>
</file>